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ED32D0" w:rsidRDefault="00515574" w:rsidP="00ED32D0">
      <w:pPr>
        <w:spacing w:after="0" w:line="240" w:lineRule="auto"/>
        <w:ind w:firstLine="720"/>
        <w:jc w:val="right"/>
        <w:rPr>
          <w:rFonts w:cs="Arial"/>
          <w:b/>
          <w:sz w:val="24"/>
          <w:szCs w:val="24"/>
        </w:rPr>
      </w:pPr>
    </w:p>
    <w:p w14:paraId="08A73AC4" w14:textId="4176AEE2" w:rsidR="00A55575" w:rsidRPr="00B36874" w:rsidRDefault="00803DFA" w:rsidP="00ED32D0">
      <w:pPr>
        <w:pStyle w:val="a"/>
        <w:rPr>
          <w:rFonts w:cs="Arial"/>
          <w:lang w:val="el-GR"/>
        </w:rPr>
      </w:pPr>
      <w:r w:rsidRPr="00B36874">
        <w:rPr>
          <w:rFonts w:cs="Arial"/>
          <w:lang w:val="el-GR"/>
        </w:rPr>
        <w:t>26</w:t>
      </w:r>
      <w:r w:rsidR="00AD5287" w:rsidRPr="00B36874">
        <w:rPr>
          <w:rFonts w:cs="Arial"/>
          <w:lang w:val="el-GR"/>
        </w:rPr>
        <w:t xml:space="preserve"> Ιου</w:t>
      </w:r>
      <w:r w:rsidR="00CB4536" w:rsidRPr="00B36874">
        <w:rPr>
          <w:rFonts w:cs="Arial"/>
          <w:lang w:val="el-GR"/>
        </w:rPr>
        <w:t>λ</w:t>
      </w:r>
      <w:r w:rsidR="00AD5287" w:rsidRPr="00B36874">
        <w:rPr>
          <w:rFonts w:cs="Arial"/>
          <w:lang w:val="el-GR"/>
        </w:rPr>
        <w:t>ίου</w:t>
      </w:r>
      <w:r w:rsidR="00DD3354" w:rsidRPr="00B36874">
        <w:rPr>
          <w:rFonts w:cs="Arial"/>
          <w:lang w:val="el-GR"/>
        </w:rPr>
        <w:t xml:space="preserve"> </w:t>
      </w:r>
      <w:r w:rsidR="00A55575" w:rsidRPr="00B36874">
        <w:rPr>
          <w:rFonts w:cs="Arial"/>
        </w:rPr>
        <w:t>20</w:t>
      </w:r>
      <w:r w:rsidR="00DD3354" w:rsidRPr="00B36874">
        <w:rPr>
          <w:rFonts w:cs="Arial"/>
          <w:lang w:val="el-GR"/>
        </w:rPr>
        <w:t>2</w:t>
      </w:r>
      <w:r w:rsidR="00895924" w:rsidRPr="00B36874">
        <w:rPr>
          <w:rFonts w:cs="Arial"/>
          <w:lang w:val="el-GR"/>
        </w:rPr>
        <w:t>2</w:t>
      </w:r>
    </w:p>
    <w:p w14:paraId="3AE919F3" w14:textId="77777777" w:rsidR="00B14366" w:rsidRPr="00B36874" w:rsidRDefault="00B14366" w:rsidP="00B36874">
      <w:pPr>
        <w:spacing w:after="0" w:line="276" w:lineRule="auto"/>
        <w:jc w:val="both"/>
        <w:rPr>
          <w:rFonts w:eastAsia="Calibri" w:cs="Arial"/>
          <w:bCs/>
          <w:sz w:val="24"/>
          <w:szCs w:val="24"/>
        </w:rPr>
      </w:pPr>
    </w:p>
    <w:p w14:paraId="4C1AE0E4" w14:textId="56255804" w:rsidR="00CB4536" w:rsidRPr="00B36874" w:rsidRDefault="00B36874" w:rsidP="00B36874">
      <w:pPr>
        <w:spacing w:after="0" w:line="276" w:lineRule="auto"/>
        <w:jc w:val="both"/>
        <w:rPr>
          <w:rFonts w:cs="Arial"/>
          <w:b/>
          <w:bCs/>
          <w:sz w:val="24"/>
          <w:szCs w:val="24"/>
        </w:rPr>
      </w:pPr>
      <w:r w:rsidRPr="00B36874">
        <w:rPr>
          <w:rFonts w:cs="Arial"/>
          <w:b/>
          <w:bCs/>
          <w:sz w:val="24"/>
          <w:szCs w:val="24"/>
        </w:rPr>
        <w:t xml:space="preserve">Ολοκληρώθηκε το έργο </w:t>
      </w:r>
      <w:r w:rsidRPr="00B36874">
        <w:rPr>
          <w:i/>
          <w:iCs/>
          <w:sz w:val="24"/>
          <w:szCs w:val="24"/>
        </w:rPr>
        <w:t>«</w:t>
      </w:r>
      <w:r w:rsidRPr="00B36874">
        <w:rPr>
          <w:b/>
          <w:bCs/>
          <w:i/>
          <w:iCs/>
          <w:sz w:val="24"/>
          <w:szCs w:val="24"/>
        </w:rPr>
        <w:t>Ανάπτυξη και Εφαρμογή Σχεδίου Βελτίωσης Οργανωτικής Λειτουργίας του ΤΕΕ για την Απλούστευση των Παρεχόμενων Υπηρεσιών προς τις Επιχειρήσεις</w:t>
      </w:r>
      <w:r w:rsidRPr="00B36874">
        <w:rPr>
          <w:i/>
          <w:iCs/>
          <w:sz w:val="24"/>
          <w:szCs w:val="24"/>
        </w:rPr>
        <w:t>»</w:t>
      </w:r>
    </w:p>
    <w:p w14:paraId="3E3255C2" w14:textId="77777777" w:rsidR="00CB4536" w:rsidRPr="00B36874" w:rsidRDefault="00CB4536" w:rsidP="00B36874">
      <w:pPr>
        <w:spacing w:after="0" w:line="276" w:lineRule="auto"/>
        <w:jc w:val="both"/>
        <w:rPr>
          <w:rFonts w:cs="Arial"/>
          <w:b/>
          <w:bCs/>
          <w:sz w:val="24"/>
          <w:szCs w:val="24"/>
        </w:rPr>
      </w:pPr>
    </w:p>
    <w:p w14:paraId="0C6EFC72" w14:textId="505ECAC7" w:rsidR="00803DFA" w:rsidRPr="00B36874" w:rsidRDefault="00803DFA" w:rsidP="00B36874">
      <w:pPr>
        <w:spacing w:after="0" w:line="276" w:lineRule="auto"/>
        <w:jc w:val="both"/>
        <w:rPr>
          <w:sz w:val="24"/>
          <w:szCs w:val="24"/>
        </w:rPr>
      </w:pPr>
      <w:r w:rsidRPr="00B36874">
        <w:rPr>
          <w:sz w:val="24"/>
          <w:szCs w:val="24"/>
        </w:rPr>
        <w:t xml:space="preserve">Το Τεχνικό Επιμελητήριο Ελλάδος (ΤΕΕ) ολοκλήρωσε με επιτυχία το έργο </w:t>
      </w:r>
      <w:r w:rsidRPr="00B36874">
        <w:rPr>
          <w:i/>
          <w:iCs/>
          <w:sz w:val="24"/>
          <w:szCs w:val="24"/>
        </w:rPr>
        <w:t>«</w:t>
      </w:r>
      <w:r w:rsidRPr="00B36874">
        <w:rPr>
          <w:b/>
          <w:bCs/>
          <w:i/>
          <w:iCs/>
          <w:sz w:val="24"/>
          <w:szCs w:val="24"/>
        </w:rPr>
        <w:t>Ανάπτυξη και Εφαρμογή Σχεδίου Βελτίωσης Οργανωτικής Λειτουργίας του ΤΕΕ για την Απλούστευση των Παρεχόμενων Υπηρεσιών προς τις Επιχειρήσεις</w:t>
      </w:r>
      <w:r w:rsidRPr="00B36874">
        <w:rPr>
          <w:i/>
          <w:iCs/>
          <w:sz w:val="24"/>
          <w:szCs w:val="24"/>
        </w:rPr>
        <w:t xml:space="preserve">», </w:t>
      </w:r>
      <w:r w:rsidR="00B36874" w:rsidRPr="00B36874">
        <w:rPr>
          <w:i/>
          <w:iCs/>
          <w:sz w:val="24"/>
          <w:szCs w:val="24"/>
        </w:rPr>
        <w:t xml:space="preserve">προϋπολογισμού </w:t>
      </w:r>
      <w:r w:rsidRPr="00B36874">
        <w:rPr>
          <w:i/>
          <w:iCs/>
          <w:sz w:val="24"/>
          <w:szCs w:val="24"/>
        </w:rPr>
        <w:t xml:space="preserve">823.383 </w:t>
      </w:r>
      <w:r w:rsidR="00B36874" w:rsidRPr="00B36874">
        <w:rPr>
          <w:i/>
          <w:iCs/>
          <w:sz w:val="24"/>
          <w:szCs w:val="24"/>
        </w:rPr>
        <w:t>ευρώ</w:t>
      </w:r>
      <w:r w:rsidRPr="00B36874">
        <w:rPr>
          <w:sz w:val="24"/>
          <w:szCs w:val="24"/>
        </w:rPr>
        <w:t xml:space="preserve">.  </w:t>
      </w:r>
      <w:r w:rsidRPr="00B36874">
        <w:rPr>
          <w:b/>
          <w:bCs/>
          <w:sz w:val="24"/>
          <w:szCs w:val="24"/>
        </w:rPr>
        <w:t>Ως αποτέλεσμα του έργου</w:t>
      </w:r>
      <w:r w:rsidRPr="00B36874">
        <w:rPr>
          <w:sz w:val="24"/>
          <w:szCs w:val="24"/>
        </w:rPr>
        <w:t xml:space="preserve">, το οποίο </w:t>
      </w:r>
      <w:bookmarkStart w:id="0" w:name="_Hlk109817985"/>
      <w:r w:rsidRPr="00B36874">
        <w:rPr>
          <w:sz w:val="24"/>
          <w:szCs w:val="24"/>
        </w:rPr>
        <w:t xml:space="preserve">χρηματοδοτήθηκε από το Ευρωπαϊκό Κοινωνικό Ταμείο και υλοποιήθηκε στο πλαίσιο του Επιχειρησιακού Προγράμματος </w:t>
      </w:r>
      <w:r w:rsidRPr="00B36874">
        <w:rPr>
          <w:rFonts w:cstheme="minorHAnsi"/>
          <w:sz w:val="24"/>
          <w:szCs w:val="24"/>
        </w:rPr>
        <w:t>«</w:t>
      </w:r>
      <w:r w:rsidRPr="00B36874">
        <w:rPr>
          <w:sz w:val="24"/>
          <w:szCs w:val="24"/>
        </w:rPr>
        <w:t>Ανταγωνιστικότητα – Επιχειρηματικότητα – Καινοτομία (</w:t>
      </w:r>
      <w:proofErr w:type="spellStart"/>
      <w:r w:rsidRPr="00B36874">
        <w:rPr>
          <w:sz w:val="24"/>
          <w:szCs w:val="24"/>
        </w:rPr>
        <w:t>ΕΠΑνΕΚ</w:t>
      </w:r>
      <w:proofErr w:type="spellEnd"/>
      <w:r w:rsidRPr="00B36874">
        <w:rPr>
          <w:sz w:val="24"/>
          <w:szCs w:val="24"/>
        </w:rPr>
        <w:t>) 2014 – 2020</w:t>
      </w:r>
      <w:r w:rsidRPr="00B36874">
        <w:rPr>
          <w:rFonts w:cstheme="minorHAnsi"/>
          <w:sz w:val="24"/>
          <w:szCs w:val="24"/>
        </w:rPr>
        <w:t>»</w:t>
      </w:r>
      <w:bookmarkEnd w:id="0"/>
      <w:r w:rsidRPr="00B36874">
        <w:rPr>
          <w:sz w:val="24"/>
          <w:szCs w:val="24"/>
        </w:rPr>
        <w:t xml:space="preserve">, </w:t>
      </w:r>
      <w:r w:rsidRPr="00B36874">
        <w:rPr>
          <w:b/>
          <w:bCs/>
          <w:sz w:val="24"/>
          <w:szCs w:val="24"/>
        </w:rPr>
        <w:t>αναπτύχθηκε ένα νέο ολοκληρωμένο επιχειρησιακό μοντέλο παροχής των υπηρεσιών του ΤΕΕ</w:t>
      </w:r>
      <w:r w:rsidRPr="00B36874">
        <w:rPr>
          <w:sz w:val="24"/>
          <w:szCs w:val="24"/>
        </w:rPr>
        <w:t>.</w:t>
      </w:r>
    </w:p>
    <w:p w14:paraId="18D757DA" w14:textId="54C6E1F7" w:rsidR="00803DFA" w:rsidRPr="00B36874" w:rsidRDefault="00803DFA" w:rsidP="00B36874">
      <w:pPr>
        <w:spacing w:after="0" w:line="276" w:lineRule="auto"/>
        <w:jc w:val="both"/>
        <w:rPr>
          <w:sz w:val="24"/>
          <w:szCs w:val="24"/>
        </w:rPr>
      </w:pPr>
      <w:r w:rsidRPr="00B36874">
        <w:rPr>
          <w:b/>
          <w:bCs/>
          <w:sz w:val="24"/>
          <w:szCs w:val="24"/>
        </w:rPr>
        <w:t>Σκοπός</w:t>
      </w:r>
      <w:r w:rsidRPr="00B36874">
        <w:rPr>
          <w:sz w:val="24"/>
          <w:szCs w:val="24"/>
        </w:rPr>
        <w:t xml:space="preserve"> του έργου ήταν η αναβάθμιση και βελτιστοποίηση της λειτουργίας των υπηρεσιών του ΤΕΕ, ώστε να καταστούν λιγότερο γραφειοκρατικές, περισσότερο «</w:t>
      </w:r>
      <w:proofErr w:type="spellStart"/>
      <w:r w:rsidRPr="00B36874">
        <w:rPr>
          <w:sz w:val="24"/>
          <w:szCs w:val="24"/>
        </w:rPr>
        <w:t>προσβάσιμες</w:t>
      </w:r>
      <w:proofErr w:type="spellEnd"/>
      <w:r w:rsidRPr="00B36874">
        <w:rPr>
          <w:sz w:val="24"/>
          <w:szCs w:val="24"/>
        </w:rPr>
        <w:t>» και φιλικές προς τους πολίτες και τις επιχειρήσεις.</w:t>
      </w:r>
      <w:r w:rsidRPr="00B36874">
        <w:rPr>
          <w:sz w:val="24"/>
          <w:szCs w:val="24"/>
        </w:rPr>
        <w:t xml:space="preserve"> </w:t>
      </w:r>
      <w:r w:rsidRPr="00B36874">
        <w:rPr>
          <w:sz w:val="24"/>
          <w:szCs w:val="24"/>
        </w:rPr>
        <w:t>Ειδικότερα, μέσω του έργου, επιτεύχθηκαν τα κάτωθι:</w:t>
      </w:r>
    </w:p>
    <w:p w14:paraId="18520B65" w14:textId="77777777" w:rsidR="00803DFA" w:rsidRPr="00B36874" w:rsidRDefault="00803DFA" w:rsidP="00B36874">
      <w:pPr>
        <w:pStyle w:val="ListParagraph"/>
        <w:numPr>
          <w:ilvl w:val="0"/>
          <w:numId w:val="12"/>
        </w:numPr>
        <w:spacing w:after="0" w:line="276" w:lineRule="auto"/>
        <w:jc w:val="both"/>
        <w:rPr>
          <w:sz w:val="24"/>
          <w:szCs w:val="24"/>
        </w:rPr>
      </w:pPr>
      <w:r w:rsidRPr="00B36874">
        <w:rPr>
          <w:sz w:val="24"/>
          <w:szCs w:val="24"/>
        </w:rPr>
        <w:t>Βελτίωση της ποιότητας και αποτελεσματικότητας των διαδικασιών και παρεχόμενων υπηρεσιών του ΤΕΕ προς τις επιχειρήσεις.</w:t>
      </w:r>
    </w:p>
    <w:p w14:paraId="1E8BDE93" w14:textId="77777777" w:rsidR="00803DFA" w:rsidRPr="00B36874" w:rsidRDefault="00803DFA" w:rsidP="00B36874">
      <w:pPr>
        <w:pStyle w:val="ListParagraph"/>
        <w:numPr>
          <w:ilvl w:val="0"/>
          <w:numId w:val="12"/>
        </w:numPr>
        <w:spacing w:after="0" w:line="276" w:lineRule="auto"/>
        <w:jc w:val="both"/>
        <w:rPr>
          <w:sz w:val="24"/>
          <w:szCs w:val="24"/>
        </w:rPr>
      </w:pPr>
      <w:r w:rsidRPr="00B36874">
        <w:rPr>
          <w:sz w:val="24"/>
          <w:szCs w:val="24"/>
        </w:rPr>
        <w:t>Αποφυγή επαναλήψεων, εξοικονόμηση υλικών και ανθρωπίνων πόρων.</w:t>
      </w:r>
    </w:p>
    <w:p w14:paraId="76E6640F" w14:textId="77777777" w:rsidR="00803DFA" w:rsidRPr="00B36874" w:rsidRDefault="00803DFA" w:rsidP="00B36874">
      <w:pPr>
        <w:pStyle w:val="ListParagraph"/>
        <w:numPr>
          <w:ilvl w:val="0"/>
          <w:numId w:val="12"/>
        </w:numPr>
        <w:spacing w:after="0" w:line="276" w:lineRule="auto"/>
        <w:jc w:val="both"/>
        <w:rPr>
          <w:sz w:val="24"/>
          <w:szCs w:val="24"/>
        </w:rPr>
      </w:pPr>
      <w:r w:rsidRPr="00B36874">
        <w:rPr>
          <w:sz w:val="24"/>
          <w:szCs w:val="24"/>
        </w:rPr>
        <w:t>Μείωση της πολυπλοκότητας και αναβάθμιση του μηχανισμού παροχής υπηρεσιών προς τις εταιρείες</w:t>
      </w:r>
    </w:p>
    <w:p w14:paraId="7F9993E9" w14:textId="77777777" w:rsidR="00803DFA" w:rsidRPr="00B36874" w:rsidRDefault="00803DFA" w:rsidP="00B36874">
      <w:pPr>
        <w:spacing w:after="0" w:line="276" w:lineRule="auto"/>
        <w:jc w:val="both"/>
        <w:rPr>
          <w:sz w:val="24"/>
          <w:szCs w:val="24"/>
        </w:rPr>
      </w:pPr>
      <w:r w:rsidRPr="00B36874">
        <w:rPr>
          <w:sz w:val="24"/>
          <w:szCs w:val="24"/>
        </w:rPr>
        <w:t>με απώτερο στόχο την ενίσχυση της εμπιστοσύνης των επιχειρήσεων προς το ΤΕΕ.</w:t>
      </w:r>
    </w:p>
    <w:p w14:paraId="19756DDD" w14:textId="77777777" w:rsidR="00B36874" w:rsidRPr="00B36874" w:rsidRDefault="00803DFA" w:rsidP="00B36874">
      <w:pPr>
        <w:spacing w:after="0" w:line="276" w:lineRule="auto"/>
        <w:jc w:val="both"/>
        <w:rPr>
          <w:sz w:val="24"/>
          <w:szCs w:val="24"/>
        </w:rPr>
      </w:pPr>
      <w:r w:rsidRPr="00B36874">
        <w:rPr>
          <w:sz w:val="24"/>
          <w:szCs w:val="24"/>
        </w:rPr>
        <w:t xml:space="preserve">Ως εκ τούτου και προκειμένου για την επίτευξη των προαναφερθέντων, το έργο υλοποιήθηκε σε τρεις (3) Φάσεις: </w:t>
      </w:r>
    </w:p>
    <w:p w14:paraId="4C468C91" w14:textId="77777777" w:rsidR="00B36874" w:rsidRPr="00B36874" w:rsidRDefault="00803DFA" w:rsidP="00B36874">
      <w:pPr>
        <w:spacing w:after="0" w:line="276" w:lineRule="auto"/>
        <w:jc w:val="both"/>
        <w:rPr>
          <w:sz w:val="24"/>
          <w:szCs w:val="24"/>
        </w:rPr>
      </w:pPr>
      <w:r w:rsidRPr="00B36874">
        <w:rPr>
          <w:sz w:val="24"/>
          <w:szCs w:val="24"/>
        </w:rPr>
        <w:t xml:space="preserve">(α) </w:t>
      </w:r>
      <w:r w:rsidRPr="00B36874">
        <w:rPr>
          <w:b/>
          <w:bCs/>
          <w:sz w:val="24"/>
          <w:szCs w:val="24"/>
        </w:rPr>
        <w:t>Φάση Α’:</w:t>
      </w:r>
      <w:r w:rsidRPr="00B36874">
        <w:rPr>
          <w:b/>
          <w:bCs/>
          <w:sz w:val="24"/>
          <w:szCs w:val="24"/>
        </w:rPr>
        <w:t xml:space="preserve"> </w:t>
      </w:r>
      <w:r w:rsidRPr="00B36874">
        <w:rPr>
          <w:sz w:val="24"/>
          <w:szCs w:val="24"/>
        </w:rPr>
        <w:t xml:space="preserve">Αποτύπωση και αξιολόγηση της υφιστάμενης κατάστασης λειτουργίας και οργάνωσης του ΤΕΕ με έμφαση στις διαδικασίες παροχής εξωστρεφών υπηρεσιών προς τις εταιρείες, </w:t>
      </w:r>
    </w:p>
    <w:p w14:paraId="08060B7F" w14:textId="77777777" w:rsidR="00B36874" w:rsidRPr="00B36874" w:rsidRDefault="00803DFA" w:rsidP="00B36874">
      <w:pPr>
        <w:spacing w:after="0" w:line="276" w:lineRule="auto"/>
        <w:jc w:val="both"/>
        <w:rPr>
          <w:sz w:val="24"/>
          <w:szCs w:val="24"/>
        </w:rPr>
      </w:pPr>
      <w:r w:rsidRPr="00B36874">
        <w:rPr>
          <w:sz w:val="24"/>
          <w:szCs w:val="24"/>
        </w:rPr>
        <w:t xml:space="preserve">(β) </w:t>
      </w:r>
      <w:r w:rsidRPr="00B36874">
        <w:rPr>
          <w:b/>
          <w:bCs/>
          <w:sz w:val="24"/>
          <w:szCs w:val="24"/>
        </w:rPr>
        <w:t>Φάση Β΄:</w:t>
      </w:r>
      <w:r w:rsidRPr="00B36874">
        <w:rPr>
          <w:sz w:val="24"/>
          <w:szCs w:val="24"/>
        </w:rPr>
        <w:t xml:space="preserve"> Απλούστευση των επιλεγεισών εξωστρεφών υπηρεσιών του ΤΕΕ και </w:t>
      </w:r>
    </w:p>
    <w:p w14:paraId="230E8D6D" w14:textId="00544B85" w:rsidR="00B36874" w:rsidRPr="00B36874" w:rsidRDefault="00803DFA" w:rsidP="00B36874">
      <w:pPr>
        <w:spacing w:after="0" w:line="276" w:lineRule="auto"/>
        <w:jc w:val="both"/>
        <w:rPr>
          <w:sz w:val="24"/>
          <w:szCs w:val="24"/>
        </w:rPr>
      </w:pPr>
      <w:r w:rsidRPr="00B36874">
        <w:rPr>
          <w:sz w:val="24"/>
          <w:szCs w:val="24"/>
        </w:rPr>
        <w:t>(γ)</w:t>
      </w:r>
      <w:r w:rsidR="00B36874" w:rsidRPr="00B36874">
        <w:rPr>
          <w:sz w:val="24"/>
          <w:szCs w:val="24"/>
        </w:rPr>
        <w:t xml:space="preserve"> </w:t>
      </w:r>
      <w:r w:rsidRPr="00B36874">
        <w:rPr>
          <w:b/>
          <w:bCs/>
          <w:sz w:val="24"/>
          <w:szCs w:val="24"/>
        </w:rPr>
        <w:t>Φάση Γ΄:</w:t>
      </w:r>
      <w:r w:rsidRPr="00B36874">
        <w:rPr>
          <w:sz w:val="24"/>
          <w:szCs w:val="24"/>
        </w:rPr>
        <w:t xml:space="preserve"> Υποστήριξη μετάβασης της επιχειρησιακής λειτουργίας του ΤΕΕ στο νέο επιχειρησιακό μοντέλο λειτουργίας. </w:t>
      </w:r>
    </w:p>
    <w:p w14:paraId="41CC4F00" w14:textId="6AF3B909" w:rsidR="00803DFA" w:rsidRPr="00B36874" w:rsidRDefault="00803DFA" w:rsidP="00B36874">
      <w:pPr>
        <w:spacing w:after="0" w:line="276" w:lineRule="auto"/>
        <w:jc w:val="both"/>
        <w:rPr>
          <w:sz w:val="24"/>
          <w:szCs w:val="24"/>
        </w:rPr>
      </w:pPr>
      <w:r w:rsidRPr="00B36874">
        <w:rPr>
          <w:sz w:val="24"/>
          <w:szCs w:val="24"/>
        </w:rPr>
        <w:t xml:space="preserve">Ειδικότερα, στο πλαίσιο του έργου διενεργήθηκαν, μεταξύ άλλων, οι κάτωθι επιμέρους </w:t>
      </w:r>
      <w:r w:rsidRPr="00B36874">
        <w:rPr>
          <w:b/>
          <w:bCs/>
          <w:sz w:val="24"/>
          <w:szCs w:val="24"/>
        </w:rPr>
        <w:t>κύριες ενέργειες</w:t>
      </w:r>
      <w:r w:rsidRPr="00B36874">
        <w:rPr>
          <w:sz w:val="24"/>
          <w:szCs w:val="24"/>
        </w:rPr>
        <w:t>:</w:t>
      </w:r>
    </w:p>
    <w:p w14:paraId="55FF887E" w14:textId="77777777" w:rsidR="00803DFA" w:rsidRPr="00B36874" w:rsidRDefault="00803DFA" w:rsidP="00B36874">
      <w:pPr>
        <w:pStyle w:val="ListParagraph"/>
        <w:numPr>
          <w:ilvl w:val="0"/>
          <w:numId w:val="13"/>
        </w:numPr>
        <w:spacing w:after="0" w:line="276" w:lineRule="auto"/>
        <w:jc w:val="both"/>
        <w:rPr>
          <w:sz w:val="24"/>
          <w:szCs w:val="24"/>
        </w:rPr>
      </w:pPr>
      <w:r w:rsidRPr="00B36874">
        <w:rPr>
          <w:sz w:val="24"/>
          <w:szCs w:val="24"/>
        </w:rPr>
        <w:lastRenderedPageBreak/>
        <w:t>Αποτίμηση του περιβάλλοντος δραστηριοποίησης του ΤΕΕ και προσδιορισμός των πτυχών υλοποίησης δράσης για την απλούστευση των διαδικασιών του ΤΕΕ.</w:t>
      </w:r>
    </w:p>
    <w:p w14:paraId="47242D47" w14:textId="77777777" w:rsidR="00803DFA" w:rsidRPr="00B36874" w:rsidRDefault="00803DFA" w:rsidP="00B36874">
      <w:pPr>
        <w:pStyle w:val="ListParagraph"/>
        <w:numPr>
          <w:ilvl w:val="0"/>
          <w:numId w:val="13"/>
        </w:numPr>
        <w:spacing w:after="0" w:line="276" w:lineRule="auto"/>
        <w:jc w:val="both"/>
        <w:rPr>
          <w:sz w:val="24"/>
          <w:szCs w:val="24"/>
        </w:rPr>
      </w:pPr>
      <w:r w:rsidRPr="00B36874">
        <w:rPr>
          <w:sz w:val="24"/>
          <w:szCs w:val="24"/>
        </w:rPr>
        <w:t>Καταγραφή και αξιολόγηση της υφιστάμενης κατάστασης ως προς τις εξωστρεφείς παρεχόμενες υπηρεσίες του ΤΕΕ προς τις επιχειρήσεις, τη ροή διαδικασιών και τη διοικητική υποστήριξη του εποπτικού και ελεγκτικού έργου που ασκεί.</w:t>
      </w:r>
    </w:p>
    <w:p w14:paraId="51E9DF06" w14:textId="77777777" w:rsidR="00803DFA" w:rsidRPr="00B36874" w:rsidRDefault="00803DFA" w:rsidP="00B36874">
      <w:pPr>
        <w:pStyle w:val="ListParagraph"/>
        <w:numPr>
          <w:ilvl w:val="0"/>
          <w:numId w:val="13"/>
        </w:numPr>
        <w:spacing w:after="0" w:line="276" w:lineRule="auto"/>
        <w:jc w:val="both"/>
        <w:rPr>
          <w:sz w:val="24"/>
          <w:szCs w:val="24"/>
        </w:rPr>
      </w:pPr>
      <w:r w:rsidRPr="00B36874">
        <w:rPr>
          <w:sz w:val="24"/>
          <w:szCs w:val="24"/>
        </w:rPr>
        <w:t>Σχεδιασμός Οργανωτικού και Επιχειρησιακού Μοντέλου του ΤΕΕ.</w:t>
      </w:r>
    </w:p>
    <w:p w14:paraId="141DC80B" w14:textId="77777777" w:rsidR="00803DFA" w:rsidRPr="00B36874" w:rsidRDefault="00803DFA" w:rsidP="00B36874">
      <w:pPr>
        <w:pStyle w:val="ListParagraph"/>
        <w:numPr>
          <w:ilvl w:val="0"/>
          <w:numId w:val="13"/>
        </w:numPr>
        <w:spacing w:after="0" w:line="276" w:lineRule="auto"/>
        <w:jc w:val="both"/>
        <w:rPr>
          <w:sz w:val="24"/>
          <w:szCs w:val="24"/>
        </w:rPr>
      </w:pPr>
      <w:r w:rsidRPr="00B36874">
        <w:rPr>
          <w:sz w:val="24"/>
          <w:szCs w:val="24"/>
        </w:rPr>
        <w:t>Βελτιστοποίηση της ροής διαδικασιών παροχής υπηρεσιών του ΤΕΕ προς επιχειρήσεις.</w:t>
      </w:r>
    </w:p>
    <w:p w14:paraId="558FFFD3" w14:textId="77777777" w:rsidR="00803DFA" w:rsidRPr="00B36874" w:rsidRDefault="00803DFA" w:rsidP="00B36874">
      <w:pPr>
        <w:pStyle w:val="ListParagraph"/>
        <w:numPr>
          <w:ilvl w:val="0"/>
          <w:numId w:val="13"/>
        </w:numPr>
        <w:spacing w:after="0" w:line="276" w:lineRule="auto"/>
        <w:jc w:val="both"/>
        <w:rPr>
          <w:sz w:val="24"/>
          <w:szCs w:val="24"/>
        </w:rPr>
      </w:pPr>
      <w:proofErr w:type="spellStart"/>
      <w:r w:rsidRPr="00B36874">
        <w:rPr>
          <w:sz w:val="24"/>
          <w:szCs w:val="24"/>
        </w:rPr>
        <w:t>Μοντελοποίηση</w:t>
      </w:r>
      <w:proofErr w:type="spellEnd"/>
      <w:r w:rsidRPr="00B36874">
        <w:rPr>
          <w:sz w:val="24"/>
          <w:szCs w:val="24"/>
        </w:rPr>
        <w:t xml:space="preserve"> και τεκμηρίωση ανασχεδιασμένων επιχειρησιακών διαδικασιών του ΤΕΕ προς επιχειρήσεις.</w:t>
      </w:r>
    </w:p>
    <w:p w14:paraId="1056137A" w14:textId="77777777" w:rsidR="00803DFA" w:rsidRPr="00B36874" w:rsidRDefault="00803DFA" w:rsidP="00B36874">
      <w:pPr>
        <w:pStyle w:val="ListParagraph"/>
        <w:numPr>
          <w:ilvl w:val="0"/>
          <w:numId w:val="13"/>
        </w:numPr>
        <w:spacing w:after="0" w:line="276" w:lineRule="auto"/>
        <w:jc w:val="both"/>
        <w:rPr>
          <w:sz w:val="24"/>
          <w:szCs w:val="24"/>
        </w:rPr>
      </w:pPr>
      <w:r w:rsidRPr="00B36874">
        <w:rPr>
          <w:sz w:val="24"/>
          <w:szCs w:val="24"/>
        </w:rPr>
        <w:t>Διαμόρφωση της κανονιστικής βάσης για την υλοποίηση και επιτυχή υιοθέτηση των προτάσεων βελτιστοποίησης των διαδικασιών απλούστευσης του ΤΕΕ.</w:t>
      </w:r>
    </w:p>
    <w:p w14:paraId="5135F048" w14:textId="77777777" w:rsidR="00803DFA" w:rsidRPr="00B36874" w:rsidRDefault="00803DFA" w:rsidP="00B36874">
      <w:pPr>
        <w:pStyle w:val="ListParagraph"/>
        <w:numPr>
          <w:ilvl w:val="0"/>
          <w:numId w:val="13"/>
        </w:numPr>
        <w:tabs>
          <w:tab w:val="left" w:pos="1065"/>
        </w:tabs>
        <w:spacing w:after="0" w:line="276" w:lineRule="auto"/>
        <w:jc w:val="both"/>
        <w:rPr>
          <w:sz w:val="24"/>
          <w:szCs w:val="24"/>
        </w:rPr>
      </w:pPr>
      <w:r w:rsidRPr="00B36874">
        <w:rPr>
          <w:sz w:val="24"/>
          <w:szCs w:val="24"/>
        </w:rPr>
        <w:t>Δράσεις εκπαίδευσης του προσωπικού στις νέες απλουστευμένες διαδικασίες.</w:t>
      </w:r>
    </w:p>
    <w:p w14:paraId="451B8D1F" w14:textId="05740251" w:rsidR="00CB4536" w:rsidRPr="00B36874" w:rsidRDefault="00CB4536" w:rsidP="00CB4536">
      <w:pPr>
        <w:spacing w:after="0" w:line="240" w:lineRule="auto"/>
        <w:jc w:val="both"/>
        <w:rPr>
          <w:rFonts w:cs="Arial"/>
          <w:sz w:val="24"/>
          <w:szCs w:val="24"/>
        </w:rPr>
      </w:pPr>
    </w:p>
    <w:p w14:paraId="4E8982BD" w14:textId="77777777" w:rsidR="00CB4536" w:rsidRPr="00B36874" w:rsidRDefault="00CB4536" w:rsidP="00CB4536">
      <w:pPr>
        <w:spacing w:after="0" w:line="240" w:lineRule="auto"/>
        <w:jc w:val="both"/>
        <w:rPr>
          <w:rFonts w:cs="Arial"/>
          <w:sz w:val="24"/>
          <w:szCs w:val="24"/>
        </w:rPr>
      </w:pPr>
    </w:p>
    <w:p w14:paraId="4D01ADD6" w14:textId="77777777" w:rsidR="00CB4536" w:rsidRPr="00B36874" w:rsidRDefault="00CB4536" w:rsidP="00CB4536">
      <w:pPr>
        <w:spacing w:after="0" w:line="240" w:lineRule="auto"/>
        <w:jc w:val="center"/>
        <w:rPr>
          <w:rFonts w:cs="Arial"/>
          <w:sz w:val="24"/>
          <w:szCs w:val="24"/>
        </w:rPr>
      </w:pPr>
      <w:r w:rsidRPr="00B36874">
        <w:rPr>
          <w:rFonts w:cs="Arial"/>
          <w:sz w:val="24"/>
          <w:szCs w:val="24"/>
        </w:rPr>
        <w:t>*********</w:t>
      </w:r>
    </w:p>
    <w:p w14:paraId="32E7E61F" w14:textId="77777777" w:rsidR="00CB4536" w:rsidRDefault="00CB4536" w:rsidP="00CB4536">
      <w:pPr>
        <w:spacing w:after="0" w:line="240" w:lineRule="auto"/>
        <w:jc w:val="both"/>
        <w:rPr>
          <w:b/>
          <w:bCs/>
        </w:rPr>
      </w:pPr>
    </w:p>
    <w:p w14:paraId="5476D7D6" w14:textId="0B6BBAA1" w:rsidR="00CB4536" w:rsidRPr="00803DFA" w:rsidRDefault="00CB4536" w:rsidP="00CB4536">
      <w:pPr>
        <w:spacing w:after="0" w:line="240" w:lineRule="auto"/>
        <w:jc w:val="both"/>
        <w:rPr>
          <w:b/>
          <w:bCs/>
          <w:i/>
          <w:iCs/>
        </w:rPr>
      </w:pPr>
      <w:r w:rsidRPr="00803DFA">
        <w:rPr>
          <w:i/>
          <w:iCs/>
        </w:rPr>
        <w:t xml:space="preserve">Το έργο/δράση υλοποιείται </w:t>
      </w:r>
      <w:r w:rsidR="00803DFA" w:rsidRPr="00803DFA">
        <w:rPr>
          <w:i/>
          <w:iCs/>
        </w:rPr>
        <w:t xml:space="preserve">με χρηματοδότηση </w:t>
      </w:r>
      <w:r w:rsidR="00803DFA" w:rsidRPr="00803DFA">
        <w:rPr>
          <w:i/>
          <w:iCs/>
        </w:rPr>
        <w:t xml:space="preserve">από το Ευρωπαϊκό Κοινωνικό Ταμείο και υλοποιήθηκε στο πλαίσιο του Επιχειρησιακού Προγράμματος </w:t>
      </w:r>
      <w:r w:rsidR="00803DFA" w:rsidRPr="00803DFA">
        <w:rPr>
          <w:rFonts w:cstheme="minorHAnsi"/>
          <w:i/>
          <w:iCs/>
        </w:rPr>
        <w:t>«</w:t>
      </w:r>
      <w:r w:rsidR="00803DFA" w:rsidRPr="00803DFA">
        <w:rPr>
          <w:i/>
          <w:iCs/>
        </w:rPr>
        <w:t>Ανταγωνιστικότητα – Επιχειρηματικότητα – Καινοτομία (</w:t>
      </w:r>
      <w:proofErr w:type="spellStart"/>
      <w:r w:rsidR="00803DFA" w:rsidRPr="00803DFA">
        <w:rPr>
          <w:i/>
          <w:iCs/>
        </w:rPr>
        <w:t>ΕΠΑνΕΚ</w:t>
      </w:r>
      <w:proofErr w:type="spellEnd"/>
      <w:r w:rsidR="00803DFA" w:rsidRPr="00803DFA">
        <w:rPr>
          <w:i/>
          <w:iCs/>
        </w:rPr>
        <w:t>) 2014 – 2020</w:t>
      </w:r>
      <w:r w:rsidR="00803DFA" w:rsidRPr="00803DFA">
        <w:rPr>
          <w:rFonts w:cstheme="minorHAnsi"/>
          <w:i/>
          <w:iCs/>
        </w:rPr>
        <w:t>»</w:t>
      </w:r>
      <w:r w:rsidR="00803DFA" w:rsidRPr="00803DFA">
        <w:rPr>
          <w:rFonts w:cstheme="minorHAnsi"/>
          <w:i/>
          <w:iCs/>
        </w:rPr>
        <w:t xml:space="preserve"> στο πλαίσιο του ΕΣΠΑ 2014-2020</w:t>
      </w:r>
      <w:r w:rsidRPr="00803DFA">
        <w:rPr>
          <w:b/>
          <w:bCs/>
          <w:i/>
          <w:iCs/>
        </w:rPr>
        <w:t xml:space="preserve">. </w:t>
      </w:r>
    </w:p>
    <w:p w14:paraId="6E431890" w14:textId="4904E11D" w:rsidR="00CB4536" w:rsidRPr="001C2D56" w:rsidRDefault="00CB4536" w:rsidP="00CB4536">
      <w:pPr>
        <w:spacing w:after="0" w:line="240" w:lineRule="auto"/>
        <w:jc w:val="both"/>
        <w:rPr>
          <w:rFonts w:cs="Arial"/>
          <w:i/>
          <w:iCs/>
          <w:sz w:val="24"/>
          <w:szCs w:val="24"/>
        </w:rPr>
      </w:pPr>
      <w:r w:rsidRPr="001C2D56">
        <w:rPr>
          <w:i/>
          <w:iCs/>
        </w:rPr>
        <w:t xml:space="preserve">Το ανωτέρω περιεχόμενο εκφράζει το </w:t>
      </w:r>
      <w:r>
        <w:rPr>
          <w:i/>
          <w:iCs/>
        </w:rPr>
        <w:t xml:space="preserve">Γραφείο Τύπου του </w:t>
      </w:r>
      <w:r w:rsidRPr="001C2D56">
        <w:rPr>
          <w:i/>
          <w:iCs/>
        </w:rPr>
        <w:t xml:space="preserve">ΤΕΕ και δεν αντικατοπτρίζει απαραίτητα τις απόψεις της </w:t>
      </w:r>
      <w:r w:rsidR="00803DFA">
        <w:rPr>
          <w:i/>
          <w:iCs/>
        </w:rPr>
        <w:t xml:space="preserve">Ελληνικής Κυβέρνησης, της </w:t>
      </w:r>
      <w:r w:rsidRPr="001C2D56">
        <w:rPr>
          <w:i/>
          <w:iCs/>
        </w:rPr>
        <w:t xml:space="preserve">Ευρωπαϊκής Ένωσης ή της Ευρωπαϊκής Επιτροπής. Η </w:t>
      </w:r>
      <w:r w:rsidR="00803DFA">
        <w:rPr>
          <w:i/>
          <w:iCs/>
        </w:rPr>
        <w:t xml:space="preserve">Ελληνική κυβέρνηση, η </w:t>
      </w:r>
      <w:r w:rsidRPr="001C2D56">
        <w:rPr>
          <w:i/>
          <w:iCs/>
        </w:rPr>
        <w:t>Ευρωπαϊκή Ένωση και η Ευρωπαϊκή Επιτροπή δεν ευθύνονται για οποιαδήποτε πιθανή χρήση της πληροφορίας αυτής.</w:t>
      </w:r>
    </w:p>
    <w:p w14:paraId="76A8515B" w14:textId="1B31446E" w:rsidR="00AD5287" w:rsidRPr="00AD5287" w:rsidRDefault="00AD5287" w:rsidP="00CB4536">
      <w:pPr>
        <w:spacing w:after="0" w:line="240" w:lineRule="auto"/>
        <w:jc w:val="both"/>
        <w:rPr>
          <w:rFonts w:eastAsia="Calibri" w:cs="Arial"/>
          <w:i/>
          <w:iCs/>
          <w:sz w:val="16"/>
          <w:szCs w:val="16"/>
        </w:rPr>
      </w:pPr>
    </w:p>
    <w:sectPr w:rsidR="00AD5287" w:rsidRPr="00AD5287" w:rsidSect="001073F3">
      <w:headerReference w:type="default" r:id="rId8"/>
      <w:footerReference w:type="even" r:id="rId9"/>
      <w:footerReference w:type="default" r:id="rId10"/>
      <w:pgSz w:w="11906" w:h="16838" w:code="9"/>
      <w:pgMar w:top="1440" w:right="1797" w:bottom="1440" w:left="179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345A" w14:textId="77777777" w:rsidR="00062733" w:rsidRDefault="00062733" w:rsidP="00515574">
      <w:r>
        <w:separator/>
      </w:r>
    </w:p>
  </w:endnote>
  <w:endnote w:type="continuationSeparator" w:id="0">
    <w:p w14:paraId="267C4DA5" w14:textId="77777777" w:rsidR="00062733" w:rsidRDefault="00062733"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4B7C" w14:textId="1CE6CA70" w:rsidR="00515574" w:rsidRPr="00C47209" w:rsidRDefault="00803DFA">
    <w:pPr>
      <w:pStyle w:val="Footer"/>
      <w:jc w:val="center"/>
      <w:rPr>
        <w:rFonts w:ascii="Bookman Old Style" w:hAnsi="Bookman Old Style"/>
        <w:b/>
        <w:i/>
        <w:lang w:val="pt-PT"/>
      </w:rPr>
    </w:pPr>
    <w:r>
      <w:rPr>
        <w:noProof/>
      </w:rPr>
      <w:drawing>
        <wp:anchor distT="0" distB="0" distL="114300" distR="114300" simplePos="0" relativeHeight="251661312" behindDoc="0" locked="0" layoutInCell="1" allowOverlap="1" wp14:anchorId="5CF0F3F7" wp14:editId="48F7228A">
          <wp:simplePos x="0" y="0"/>
          <wp:positionH relativeFrom="column">
            <wp:posOffset>6985</wp:posOffset>
          </wp:positionH>
          <wp:positionV relativeFrom="paragraph">
            <wp:posOffset>-57455</wp:posOffset>
          </wp:positionV>
          <wp:extent cx="5278120" cy="5867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278120" cy="586740"/>
                  </a:xfrm>
                  <a:prstGeom prst="rect">
                    <a:avLst/>
                  </a:prstGeom>
                </pic:spPr>
              </pic:pic>
            </a:graphicData>
          </a:graphic>
        </wp:anchor>
      </w:drawing>
    </w:r>
    <w:r w:rsidR="001073F3">
      <w:rPr>
        <w:noProof/>
      </w:rPr>
      <mc:AlternateContent>
        <mc:Choice Requires="wps">
          <w:drawing>
            <wp:anchor distT="0" distB="0" distL="114300" distR="114300" simplePos="0" relativeHeight="251660288" behindDoc="0" locked="0" layoutInCell="1" allowOverlap="1" wp14:anchorId="6124385C" wp14:editId="4F556094">
              <wp:simplePos x="0" y="0"/>
              <wp:positionH relativeFrom="column">
                <wp:posOffset>-7239</wp:posOffset>
              </wp:positionH>
              <wp:positionV relativeFrom="page">
                <wp:posOffset>9787738</wp:posOffset>
              </wp:positionV>
              <wp:extent cx="53108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31089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F3EE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770.7pt" to="417.65pt,7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" strokecolor="#4472c4 [3204]" strokeweight="1.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F59F" w14:textId="77777777" w:rsidR="00062733" w:rsidRDefault="00062733" w:rsidP="00515574">
      <w:r>
        <w:separator/>
      </w:r>
    </w:p>
  </w:footnote>
  <w:footnote w:type="continuationSeparator" w:id="0">
    <w:p w14:paraId="743B159D" w14:textId="77777777" w:rsidR="00062733" w:rsidRDefault="00062733" w:rsidP="005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247F" w14:textId="3778F615" w:rsidR="00CB4536" w:rsidRDefault="00CB4536" w:rsidP="001073F3">
    <w:pPr>
      <w:pStyle w:val="Footer"/>
      <w:pBdr>
        <w:top w:val="thinThickSmallGap" w:sz="24" w:space="1" w:color="2F5496" w:themeColor="accent1" w:themeShade="BF"/>
      </w:pBdr>
      <w:spacing w:after="0" w:line="240" w:lineRule="auto"/>
    </w:pPr>
    <w:r w:rsidRPr="00C24DED">
      <w:rPr>
        <w:b/>
        <w:i/>
      </w:rPr>
      <w:t>ΓΡΑΦΕΙΟ ΤΥΠΟΥ</w:t>
    </w:r>
    <w:r w:rsidR="00AD5EEB" w:rsidRPr="00AD5EEB">
      <w:rPr>
        <w:b/>
        <w:i/>
        <w:lang w:val="el-GR"/>
      </w:rPr>
      <w:t xml:space="preserve"> </w:t>
    </w:r>
    <w:r w:rsidRPr="00C24DED">
      <w:rPr>
        <w:b/>
        <w:i/>
      </w:rPr>
      <w:t xml:space="preserve">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fldChar w:fldCharType="begin"/>
    </w:r>
    <w:r w:rsidRPr="00C47209">
      <w:rPr>
        <w:lang w:val="pt-PT"/>
      </w:rP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60A4C"/>
    <w:multiLevelType w:val="hybridMultilevel"/>
    <w:tmpl w:val="57747E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6C47DA"/>
    <w:multiLevelType w:val="hybridMultilevel"/>
    <w:tmpl w:val="8A7425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5"/>
  </w:num>
  <w:num w:numId="4" w16cid:durableId="1309938657">
    <w:abstractNumId w:val="6"/>
  </w:num>
  <w:num w:numId="5" w16cid:durableId="127629023">
    <w:abstractNumId w:val="4"/>
  </w:num>
  <w:num w:numId="6" w16cid:durableId="329255408">
    <w:abstractNumId w:val="8"/>
  </w:num>
  <w:num w:numId="7" w16cid:durableId="417405795">
    <w:abstractNumId w:val="10"/>
  </w:num>
  <w:num w:numId="8" w16cid:durableId="1319656385">
    <w:abstractNumId w:val="2"/>
  </w:num>
  <w:num w:numId="9" w16cid:durableId="1315452695">
    <w:abstractNumId w:val="11"/>
  </w:num>
  <w:num w:numId="10" w16cid:durableId="648754054">
    <w:abstractNumId w:val="12"/>
  </w:num>
  <w:num w:numId="11" w16cid:durableId="1710764889">
    <w:abstractNumId w:val="7"/>
  </w:num>
  <w:num w:numId="12" w16cid:durableId="1275358564">
    <w:abstractNumId w:val="3"/>
  </w:num>
  <w:num w:numId="13" w16cid:durableId="15717657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62733"/>
    <w:rsid w:val="00074D32"/>
    <w:rsid w:val="00080A4C"/>
    <w:rsid w:val="00085D55"/>
    <w:rsid w:val="0009209A"/>
    <w:rsid w:val="000A23EC"/>
    <w:rsid w:val="000B42EA"/>
    <w:rsid w:val="000C3863"/>
    <w:rsid w:val="000C62AE"/>
    <w:rsid w:val="000F6CA4"/>
    <w:rsid w:val="00106EE1"/>
    <w:rsid w:val="00106FAA"/>
    <w:rsid w:val="001073F3"/>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1706"/>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03DFA"/>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D5EEB"/>
    <w:rsid w:val="00AE1084"/>
    <w:rsid w:val="00AE10DA"/>
    <w:rsid w:val="00AE3550"/>
    <w:rsid w:val="00AE6D90"/>
    <w:rsid w:val="00B01915"/>
    <w:rsid w:val="00B06F01"/>
    <w:rsid w:val="00B1169A"/>
    <w:rsid w:val="00B14366"/>
    <w:rsid w:val="00B333F4"/>
    <w:rsid w:val="00B34626"/>
    <w:rsid w:val="00B36874"/>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D7897"/>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44EEF"/>
    <w:rsid w:val="00C47F96"/>
    <w:rsid w:val="00C641FE"/>
    <w:rsid w:val="00C67943"/>
    <w:rsid w:val="00C73192"/>
    <w:rsid w:val="00C82650"/>
    <w:rsid w:val="00CA0152"/>
    <w:rsid w:val="00CA3BC8"/>
    <w:rsid w:val="00CB4536"/>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345B4"/>
    <w:rsid w:val="00F5189D"/>
    <w:rsid w:val="00F61880"/>
    <w:rsid w:val="00F6706C"/>
    <w:rsid w:val="00F70429"/>
    <w:rsid w:val="00F839F7"/>
    <w:rsid w:val="00F87EFC"/>
    <w:rsid w:val="00F97BD1"/>
    <w:rsid w:val="00FB4984"/>
    <w:rsid w:val="00FB6366"/>
    <w:rsid w:val="00FC350B"/>
    <w:rsid w:val="00FD431E"/>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3351</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2</cp:revision>
  <cp:lastPrinted>2019-01-17T13:54:00Z</cp:lastPrinted>
  <dcterms:created xsi:type="dcterms:W3CDTF">2022-07-27T09:49:00Z</dcterms:created>
  <dcterms:modified xsi:type="dcterms:W3CDTF">2022-07-27T09:49:00Z</dcterms:modified>
</cp:coreProperties>
</file>