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84" w:rsidRDefault="006F2F84" w:rsidP="00102257">
      <w:pPr>
        <w:pBdr>
          <w:top w:val="nil"/>
          <w:left w:val="nil"/>
          <w:bottom w:val="nil"/>
          <w:right w:val="nil"/>
          <w:between w:val="nil"/>
        </w:pBdr>
        <w:spacing w:before="120" w:after="120" w:line="240" w:lineRule="auto"/>
        <w:rPr>
          <w:rFonts w:ascii="Arial" w:eastAsia="Arial" w:hAnsi="Arial" w:cs="Arial"/>
          <w:b/>
          <w:color w:val="000000"/>
          <w:sz w:val="24"/>
          <w:szCs w:val="24"/>
          <w:lang w:val="en-US"/>
        </w:rPr>
      </w:pPr>
      <w:r>
        <w:rPr>
          <w:noProof/>
          <w:color w:val="000000"/>
        </w:rPr>
        <w:drawing>
          <wp:anchor distT="0" distB="0" distL="114300" distR="114300" simplePos="0" relativeHeight="251660288" behindDoc="0" locked="0" layoutInCell="1" allowOverlap="1">
            <wp:simplePos x="0" y="0"/>
            <wp:positionH relativeFrom="column">
              <wp:posOffset>1912620</wp:posOffset>
            </wp:positionH>
            <wp:positionV relativeFrom="paragraph">
              <wp:posOffset>30480</wp:posOffset>
            </wp:positionV>
            <wp:extent cx="1655445" cy="720090"/>
            <wp:effectExtent l="0" t="0" r="1905" b="3810"/>
            <wp:wrapNone/>
            <wp:docPr id="839342762" name="Picture 839342762" descr="A logo with blue and black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logo with blue and black letters&#10;&#10;Description automatically generated"/>
                    <pic:cNvPicPr preferRelativeResize="0"/>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999" t="12262"/>
                    <a:stretch>
                      <a:fillRect/>
                    </a:stretch>
                  </pic:blipFill>
                  <pic:spPr>
                    <a:xfrm>
                      <a:off x="0" y="0"/>
                      <a:ext cx="1655445" cy="720090"/>
                    </a:xfrm>
                    <a:prstGeom prst="rect">
                      <a:avLst/>
                    </a:prstGeom>
                    <a:ln/>
                  </pic:spPr>
                </pic:pic>
              </a:graphicData>
            </a:graphic>
          </wp:anchor>
        </w:drawing>
      </w:r>
      <w:r>
        <w:rPr>
          <w:rFonts w:ascii="Arial" w:eastAsia="Arial" w:hAnsi="Arial" w:cs="Arial"/>
          <w:b/>
          <w:noProof/>
          <w:color w:val="000000"/>
          <w:sz w:val="24"/>
          <w:szCs w:val="24"/>
        </w:rPr>
        <w:drawing>
          <wp:anchor distT="0" distB="0" distL="114300" distR="114300" simplePos="0" relativeHeight="251661312" behindDoc="0" locked="0" layoutInCell="1" allowOverlap="1">
            <wp:simplePos x="0" y="0"/>
            <wp:positionH relativeFrom="column">
              <wp:posOffset>3566160</wp:posOffset>
            </wp:positionH>
            <wp:positionV relativeFrom="paragraph">
              <wp:posOffset>144780</wp:posOffset>
            </wp:positionV>
            <wp:extent cx="1706400" cy="428400"/>
            <wp:effectExtent l="0" t="0" r="0" b="0"/>
            <wp:wrapNone/>
            <wp:docPr id="311230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30120" name="Picture 311230120"/>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6400" cy="428400"/>
                    </a:xfrm>
                    <a:prstGeom prst="rect">
                      <a:avLst/>
                    </a:prstGeom>
                  </pic:spPr>
                </pic:pic>
              </a:graphicData>
            </a:graphic>
          </wp:anchor>
        </w:drawing>
      </w:r>
      <w:r w:rsidRPr="00FF0A47">
        <w:rPr>
          <w:rFonts w:ascii="Arial" w:hAnsi="Arial" w:cs="Arial"/>
          <w:b/>
          <w:bCs/>
          <w:noProof/>
          <w:color w:val="1F4E79"/>
        </w:rPr>
        <w:drawing>
          <wp:anchor distT="0" distB="0" distL="114300" distR="114300" simplePos="0" relativeHeight="251659264" behindDoc="0" locked="0" layoutInCell="1" allowOverlap="1">
            <wp:simplePos x="0" y="0"/>
            <wp:positionH relativeFrom="column">
              <wp:posOffset>652</wp:posOffset>
            </wp:positionH>
            <wp:positionV relativeFrom="paragraph">
              <wp:posOffset>-304165</wp:posOffset>
            </wp:positionV>
            <wp:extent cx="2496709" cy="1261069"/>
            <wp:effectExtent l="0" t="0" r="0" b="0"/>
            <wp:wrapNone/>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96709" cy="1261069"/>
                    </a:xfrm>
                    <a:prstGeom prst="rect">
                      <a:avLst/>
                    </a:prstGeom>
                  </pic:spPr>
                </pic:pic>
              </a:graphicData>
            </a:graphic>
          </wp:anchor>
        </w:drawing>
      </w:r>
    </w:p>
    <w:p w:rsidR="006F2F84" w:rsidRDefault="006F2F84" w:rsidP="00102257">
      <w:pPr>
        <w:pBdr>
          <w:top w:val="nil"/>
          <w:left w:val="nil"/>
          <w:bottom w:val="nil"/>
          <w:right w:val="nil"/>
          <w:between w:val="nil"/>
        </w:pBdr>
        <w:spacing w:before="120" w:after="120" w:line="240" w:lineRule="auto"/>
        <w:rPr>
          <w:rFonts w:ascii="Arial" w:eastAsia="Arial" w:hAnsi="Arial" w:cs="Arial"/>
          <w:b/>
          <w:color w:val="000000"/>
          <w:sz w:val="24"/>
          <w:szCs w:val="24"/>
          <w:lang w:val="en-US"/>
        </w:rPr>
      </w:pPr>
    </w:p>
    <w:p w:rsidR="006F2F84" w:rsidRDefault="006F2F84" w:rsidP="00102257">
      <w:pPr>
        <w:pBdr>
          <w:top w:val="nil"/>
          <w:left w:val="nil"/>
          <w:bottom w:val="nil"/>
          <w:right w:val="nil"/>
          <w:between w:val="nil"/>
        </w:pBdr>
        <w:spacing w:before="120" w:after="120" w:line="240" w:lineRule="auto"/>
        <w:rPr>
          <w:rFonts w:ascii="Arial" w:eastAsia="Arial" w:hAnsi="Arial" w:cs="Arial"/>
          <w:b/>
          <w:color w:val="000000"/>
          <w:sz w:val="24"/>
          <w:szCs w:val="24"/>
          <w:lang w:val="en-US"/>
        </w:rPr>
      </w:pPr>
    </w:p>
    <w:p w:rsidR="00562498" w:rsidRPr="00562498" w:rsidRDefault="00562498" w:rsidP="00102257">
      <w:pPr>
        <w:pBdr>
          <w:top w:val="nil"/>
          <w:left w:val="nil"/>
          <w:bottom w:val="nil"/>
          <w:right w:val="nil"/>
          <w:between w:val="nil"/>
        </w:pBdr>
        <w:spacing w:before="120" w:after="120" w:line="240" w:lineRule="auto"/>
        <w:rPr>
          <w:rFonts w:ascii="Arial" w:eastAsia="Arial" w:hAnsi="Arial" w:cs="Arial"/>
          <w:b/>
          <w:color w:val="000000"/>
          <w:sz w:val="24"/>
          <w:szCs w:val="24"/>
          <w:lang w:val="en-US"/>
        </w:rPr>
      </w:pPr>
    </w:p>
    <w:p w:rsidR="00562498" w:rsidRPr="00562498" w:rsidRDefault="00562498" w:rsidP="00562498">
      <w:pPr>
        <w:pBdr>
          <w:top w:val="nil"/>
          <w:left w:val="nil"/>
          <w:bottom w:val="nil"/>
          <w:right w:val="nil"/>
          <w:between w:val="nil"/>
        </w:pBdr>
        <w:spacing w:before="120" w:after="120" w:line="240" w:lineRule="auto"/>
        <w:jc w:val="center"/>
        <w:rPr>
          <w:rFonts w:ascii="Arial" w:eastAsia="Arial" w:hAnsi="Arial" w:cs="Arial"/>
          <w:b/>
          <w:color w:val="000000"/>
          <w:sz w:val="24"/>
          <w:szCs w:val="24"/>
          <w:u w:val="single"/>
        </w:rPr>
      </w:pPr>
      <w:r w:rsidRPr="00562498">
        <w:rPr>
          <w:rFonts w:ascii="Arial" w:eastAsia="Arial" w:hAnsi="Arial" w:cs="Arial"/>
          <w:b/>
          <w:color w:val="000000"/>
          <w:sz w:val="24"/>
          <w:szCs w:val="24"/>
          <w:u w:val="single"/>
        </w:rPr>
        <w:t xml:space="preserve">ΔΕΛΤΙΟ ΤΥΠΟΥ </w:t>
      </w:r>
    </w:p>
    <w:p w:rsidR="00562498" w:rsidRDefault="00633F10" w:rsidP="00562498">
      <w:pPr>
        <w:pBdr>
          <w:top w:val="nil"/>
          <w:left w:val="nil"/>
          <w:bottom w:val="nil"/>
          <w:right w:val="nil"/>
          <w:between w:val="nil"/>
        </w:pBdr>
        <w:spacing w:before="120" w:after="120" w:line="240" w:lineRule="auto"/>
        <w:jc w:val="right"/>
        <w:rPr>
          <w:rFonts w:ascii="Arial" w:eastAsia="Arial" w:hAnsi="Arial" w:cs="Arial"/>
          <w:bCs/>
          <w:i/>
          <w:iCs/>
          <w:color w:val="000000"/>
          <w:sz w:val="24"/>
          <w:szCs w:val="24"/>
        </w:rPr>
      </w:pPr>
      <w:r w:rsidRPr="00562498">
        <w:rPr>
          <w:rFonts w:ascii="Arial" w:eastAsia="Arial" w:hAnsi="Arial" w:cs="Arial"/>
          <w:bCs/>
          <w:i/>
          <w:iCs/>
          <w:color w:val="000000"/>
          <w:sz w:val="24"/>
          <w:szCs w:val="24"/>
        </w:rPr>
        <w:t>2</w:t>
      </w:r>
      <w:r>
        <w:rPr>
          <w:rFonts w:ascii="Arial" w:eastAsia="Arial" w:hAnsi="Arial" w:cs="Arial"/>
          <w:bCs/>
          <w:i/>
          <w:iCs/>
          <w:color w:val="000000"/>
          <w:sz w:val="24"/>
          <w:szCs w:val="24"/>
        </w:rPr>
        <w:t>6</w:t>
      </w:r>
      <w:r w:rsidRPr="00562498">
        <w:rPr>
          <w:rFonts w:ascii="Arial" w:eastAsia="Arial" w:hAnsi="Arial" w:cs="Arial"/>
          <w:bCs/>
          <w:i/>
          <w:iCs/>
          <w:color w:val="000000"/>
          <w:sz w:val="24"/>
          <w:szCs w:val="24"/>
        </w:rPr>
        <w:t xml:space="preserve"> Ιουλίου 2023 </w:t>
      </w:r>
    </w:p>
    <w:p w:rsidR="00633F10" w:rsidRPr="00562498" w:rsidRDefault="00633F10" w:rsidP="00562498">
      <w:pPr>
        <w:pBdr>
          <w:top w:val="nil"/>
          <w:left w:val="nil"/>
          <w:bottom w:val="nil"/>
          <w:right w:val="nil"/>
          <w:between w:val="nil"/>
        </w:pBdr>
        <w:spacing w:before="120" w:after="120" w:line="240" w:lineRule="auto"/>
        <w:jc w:val="right"/>
        <w:rPr>
          <w:rFonts w:ascii="Arial" w:eastAsia="Arial" w:hAnsi="Arial" w:cs="Arial"/>
          <w:b/>
          <w:color w:val="000000"/>
          <w:sz w:val="24"/>
          <w:szCs w:val="24"/>
        </w:rPr>
      </w:pPr>
    </w:p>
    <w:p w:rsidR="00562498" w:rsidRPr="00633F10" w:rsidRDefault="001E2F27" w:rsidP="00562498">
      <w:pPr>
        <w:shd w:val="clear" w:color="auto" w:fill="FFFFFF"/>
        <w:spacing w:before="120" w:after="120"/>
        <w:jc w:val="center"/>
        <w:rPr>
          <w:rFonts w:ascii="Arial" w:eastAsia="Arial" w:hAnsi="Arial" w:cs="Arial"/>
          <w:b/>
          <w:sz w:val="24"/>
          <w:szCs w:val="24"/>
        </w:rPr>
      </w:pPr>
      <w:r w:rsidRPr="00633F10">
        <w:rPr>
          <w:rFonts w:ascii="Arial" w:eastAsia="Arial" w:hAnsi="Arial" w:cs="Arial"/>
          <w:b/>
          <w:sz w:val="24"/>
          <w:szCs w:val="24"/>
        </w:rPr>
        <w:t>ΕΤΑΔ Α</w:t>
      </w:r>
      <w:r w:rsidR="00633F10" w:rsidRPr="00633F10">
        <w:rPr>
          <w:rFonts w:ascii="Arial" w:eastAsia="Arial" w:hAnsi="Arial" w:cs="Arial"/>
          <w:b/>
          <w:sz w:val="24"/>
          <w:szCs w:val="24"/>
        </w:rPr>
        <w:t>Ε</w:t>
      </w:r>
      <w:r w:rsidRPr="00633F10">
        <w:rPr>
          <w:rFonts w:ascii="Arial" w:eastAsia="Arial" w:hAnsi="Arial" w:cs="Arial"/>
          <w:b/>
          <w:sz w:val="24"/>
          <w:szCs w:val="24"/>
        </w:rPr>
        <w:t xml:space="preserve">, </w:t>
      </w:r>
      <w:r w:rsidR="00562498" w:rsidRPr="00633F10">
        <w:rPr>
          <w:rFonts w:ascii="Arial" w:eastAsia="Arial" w:hAnsi="Arial" w:cs="Arial"/>
          <w:b/>
          <w:sz w:val="24"/>
          <w:szCs w:val="24"/>
        </w:rPr>
        <w:t xml:space="preserve">ΤΕΕ και ΤΜΕΔΕ υπέγραψαν </w:t>
      </w:r>
      <w:r w:rsidR="00102257" w:rsidRPr="00633F10">
        <w:rPr>
          <w:rFonts w:ascii="Arial" w:eastAsia="Arial" w:hAnsi="Arial" w:cs="Arial"/>
          <w:b/>
          <w:sz w:val="24"/>
          <w:szCs w:val="24"/>
        </w:rPr>
        <w:t>Μ</w:t>
      </w:r>
      <w:r w:rsidR="00562498" w:rsidRPr="00633F10">
        <w:rPr>
          <w:rFonts w:ascii="Arial" w:eastAsia="Arial" w:hAnsi="Arial" w:cs="Arial"/>
          <w:b/>
          <w:sz w:val="24"/>
          <w:szCs w:val="24"/>
        </w:rPr>
        <w:t xml:space="preserve">νημόνιο </w:t>
      </w:r>
      <w:r w:rsidR="00102257" w:rsidRPr="00633F10">
        <w:rPr>
          <w:rFonts w:ascii="Arial" w:eastAsia="Arial" w:hAnsi="Arial" w:cs="Arial"/>
          <w:b/>
          <w:sz w:val="24"/>
          <w:szCs w:val="24"/>
        </w:rPr>
        <w:t>Σ</w:t>
      </w:r>
      <w:r w:rsidR="00562498" w:rsidRPr="00633F10">
        <w:rPr>
          <w:rFonts w:ascii="Arial" w:eastAsia="Arial" w:hAnsi="Arial" w:cs="Arial"/>
          <w:b/>
          <w:sz w:val="24"/>
          <w:szCs w:val="24"/>
        </w:rPr>
        <w:t xml:space="preserve">υνεργασίας </w:t>
      </w:r>
    </w:p>
    <w:p w:rsidR="00102257" w:rsidRPr="00633F10" w:rsidRDefault="00562498" w:rsidP="001E2F27">
      <w:pPr>
        <w:shd w:val="clear" w:color="auto" w:fill="FFFFFF"/>
        <w:spacing w:before="120" w:after="120"/>
        <w:jc w:val="center"/>
        <w:rPr>
          <w:rFonts w:ascii="Arial" w:eastAsia="Arial" w:hAnsi="Arial" w:cs="Arial"/>
          <w:b/>
          <w:sz w:val="24"/>
          <w:szCs w:val="24"/>
        </w:rPr>
      </w:pPr>
      <w:r w:rsidRPr="00633F10">
        <w:rPr>
          <w:rFonts w:ascii="Arial" w:eastAsia="Arial" w:hAnsi="Arial" w:cs="Arial"/>
          <w:b/>
          <w:sz w:val="24"/>
          <w:szCs w:val="24"/>
        </w:rPr>
        <w:t>Συμβουλευτική υποστήριξη και εξειδικευμένες υπηρεσίες για τη βέλτιστη διαχείριση και αξιοποίηση των ακινήτων της ΕΤΑΔ Α.Ε.</w:t>
      </w:r>
    </w:p>
    <w:p w:rsidR="001E2F27" w:rsidRPr="00633F10" w:rsidRDefault="00562498" w:rsidP="00213288">
      <w:pPr>
        <w:shd w:val="clear" w:color="auto" w:fill="FFFFFF"/>
        <w:spacing w:before="120" w:after="120" w:line="240" w:lineRule="auto"/>
        <w:jc w:val="both"/>
        <w:rPr>
          <w:rFonts w:ascii="Arial" w:eastAsia="Arial" w:hAnsi="Arial" w:cs="Arial"/>
          <w:sz w:val="24"/>
          <w:szCs w:val="24"/>
        </w:rPr>
      </w:pPr>
      <w:r w:rsidRPr="00633F10">
        <w:rPr>
          <w:rFonts w:ascii="Arial" w:eastAsia="Arial" w:hAnsi="Arial" w:cs="Arial"/>
          <w:sz w:val="24"/>
          <w:szCs w:val="24"/>
        </w:rPr>
        <w:t xml:space="preserve">Το ΤEE, το ΤMΕΔΕ και η Εταιρεία Ακινήτων Δημοσίου (ΕΤΑΔ) ΑΕ υπέγραψαν </w:t>
      </w:r>
      <w:r w:rsidR="001E2F27" w:rsidRPr="00633F10">
        <w:rPr>
          <w:rFonts w:ascii="Arial" w:eastAsia="Arial" w:hAnsi="Arial" w:cs="Arial"/>
          <w:sz w:val="24"/>
          <w:szCs w:val="24"/>
        </w:rPr>
        <w:t>στα γραφεία της ΕΤΑΔ Μ</w:t>
      </w:r>
      <w:r w:rsidRPr="00633F10">
        <w:rPr>
          <w:rFonts w:ascii="Arial" w:eastAsia="Arial" w:hAnsi="Arial" w:cs="Arial"/>
          <w:sz w:val="24"/>
          <w:szCs w:val="24"/>
        </w:rPr>
        <w:t xml:space="preserve">νημόνιο </w:t>
      </w:r>
      <w:r w:rsidR="001E2F27" w:rsidRPr="00633F10">
        <w:rPr>
          <w:rFonts w:ascii="Arial" w:eastAsia="Arial" w:hAnsi="Arial" w:cs="Arial"/>
          <w:sz w:val="24"/>
          <w:szCs w:val="24"/>
        </w:rPr>
        <w:t>Σ</w:t>
      </w:r>
      <w:r w:rsidRPr="00633F10">
        <w:rPr>
          <w:rFonts w:ascii="Arial" w:eastAsia="Arial" w:hAnsi="Arial" w:cs="Arial"/>
          <w:sz w:val="24"/>
          <w:szCs w:val="24"/>
        </w:rPr>
        <w:t xml:space="preserve">υνεργασίας, στο οποίο περιγράφονται σύνολο συνεργειών που στόχο έχουν την παροχή πλαισίου συμβουλευτικής υποστήριξης από πλευράς ΤΕΕ και ΤΜΕΔΕ προς την ΕΤΑΔ ΑΕ αναφορικά με την βέλτιστη διαχείριση και εκμετάλλευση των ακινήτων </w:t>
      </w:r>
      <w:r w:rsidR="001E2F27" w:rsidRPr="00633F10">
        <w:rPr>
          <w:rFonts w:ascii="Arial" w:eastAsia="Arial" w:hAnsi="Arial" w:cs="Arial"/>
          <w:sz w:val="24"/>
          <w:szCs w:val="24"/>
        </w:rPr>
        <w:t>του χαρτοφυλακίου της</w:t>
      </w:r>
      <w:r w:rsidRPr="00633F10">
        <w:rPr>
          <w:rFonts w:ascii="Arial" w:eastAsia="Arial" w:hAnsi="Arial" w:cs="Arial"/>
          <w:sz w:val="24"/>
          <w:szCs w:val="24"/>
        </w:rPr>
        <w:t xml:space="preserve">. </w:t>
      </w:r>
    </w:p>
    <w:p w:rsidR="00562498" w:rsidRPr="00633F10" w:rsidRDefault="001E2F27" w:rsidP="00213288">
      <w:pPr>
        <w:shd w:val="clear" w:color="auto" w:fill="FFFFFF"/>
        <w:spacing w:before="120" w:after="120" w:line="240" w:lineRule="auto"/>
        <w:jc w:val="both"/>
        <w:rPr>
          <w:rFonts w:ascii="Arial" w:eastAsia="Arial" w:hAnsi="Arial" w:cs="Arial"/>
          <w:sz w:val="24"/>
          <w:szCs w:val="24"/>
        </w:rPr>
      </w:pPr>
      <w:r w:rsidRPr="00633F10">
        <w:rPr>
          <w:rFonts w:ascii="Arial" w:eastAsia="Arial" w:hAnsi="Arial" w:cs="Arial"/>
          <w:sz w:val="24"/>
          <w:szCs w:val="24"/>
        </w:rPr>
        <w:t>Παράλληλα</w:t>
      </w:r>
      <w:r w:rsidR="00562498" w:rsidRPr="00633F10">
        <w:rPr>
          <w:rFonts w:ascii="Arial" w:eastAsia="Arial" w:hAnsi="Arial" w:cs="Arial"/>
          <w:sz w:val="24"/>
          <w:szCs w:val="24"/>
        </w:rPr>
        <w:t xml:space="preserve"> αφορά και στην παροχή ειδικής συνδρομής για μελετητικές και άλλες αναγκαίες εργασίες αναφορικά με την συντήρηση, διαχείριση και φροντίδα των ακινήτων. </w:t>
      </w:r>
    </w:p>
    <w:p w:rsidR="00562498" w:rsidRPr="00633F10" w:rsidRDefault="00562498" w:rsidP="00213288">
      <w:pPr>
        <w:shd w:val="clear" w:color="auto" w:fill="FFFFFF"/>
        <w:spacing w:before="120" w:after="120" w:line="240" w:lineRule="auto"/>
        <w:jc w:val="both"/>
        <w:rPr>
          <w:rFonts w:ascii="Arial" w:eastAsia="Arial" w:hAnsi="Arial" w:cs="Arial"/>
          <w:sz w:val="24"/>
          <w:szCs w:val="24"/>
        </w:rPr>
      </w:pPr>
      <w:r w:rsidRPr="00633F10">
        <w:rPr>
          <w:rFonts w:ascii="Arial" w:eastAsia="Arial" w:hAnsi="Arial" w:cs="Arial"/>
          <w:sz w:val="24"/>
          <w:szCs w:val="24"/>
        </w:rPr>
        <w:t>Το μνημόνιο προβλέπει ένα ευρύτερο πλαίσιο συνεργασίας ειδικότερα στην παροχή τεχνογνωσίας που έχουν το ΤΕΕ και το ΤΜΕΔΕ αναφορικά με:</w:t>
      </w:r>
    </w:p>
    <w:p w:rsidR="00562498" w:rsidRPr="00633F10" w:rsidRDefault="00562498" w:rsidP="00213288">
      <w:pPr>
        <w:numPr>
          <w:ilvl w:val="0"/>
          <w:numId w:val="2"/>
        </w:numPr>
        <w:pBdr>
          <w:top w:val="nil"/>
          <w:left w:val="nil"/>
          <w:bottom w:val="nil"/>
          <w:right w:val="nil"/>
          <w:between w:val="nil"/>
        </w:pBdr>
        <w:shd w:val="clear" w:color="auto" w:fill="FFFFFF"/>
        <w:spacing w:before="120" w:after="120" w:line="240" w:lineRule="auto"/>
        <w:jc w:val="both"/>
        <w:rPr>
          <w:rFonts w:ascii="Arial" w:hAnsi="Arial" w:cs="Arial"/>
          <w:color w:val="000000"/>
          <w:sz w:val="24"/>
          <w:szCs w:val="24"/>
        </w:rPr>
      </w:pPr>
      <w:r w:rsidRPr="00633F10">
        <w:rPr>
          <w:rFonts w:ascii="Arial" w:eastAsia="Arial" w:hAnsi="Arial" w:cs="Arial"/>
          <w:color w:val="000000"/>
          <w:sz w:val="24"/>
          <w:szCs w:val="24"/>
        </w:rPr>
        <w:t>τη διαχείριση ακινήτων που εξυπηρετούν σκοπούς δημοσίου συμφέροντος</w:t>
      </w:r>
    </w:p>
    <w:p w:rsidR="00562498" w:rsidRPr="00633F10" w:rsidRDefault="00562498" w:rsidP="00213288">
      <w:pPr>
        <w:numPr>
          <w:ilvl w:val="0"/>
          <w:numId w:val="2"/>
        </w:numPr>
        <w:pBdr>
          <w:top w:val="nil"/>
          <w:left w:val="nil"/>
          <w:bottom w:val="nil"/>
          <w:right w:val="nil"/>
          <w:between w:val="nil"/>
        </w:pBdr>
        <w:shd w:val="clear" w:color="auto" w:fill="FFFFFF"/>
        <w:spacing w:before="120" w:after="120" w:line="240" w:lineRule="auto"/>
        <w:jc w:val="both"/>
        <w:rPr>
          <w:rFonts w:ascii="Arial" w:hAnsi="Arial" w:cs="Arial"/>
          <w:color w:val="000000"/>
          <w:sz w:val="24"/>
          <w:szCs w:val="24"/>
        </w:rPr>
      </w:pPr>
      <w:r w:rsidRPr="00633F10">
        <w:rPr>
          <w:rFonts w:ascii="Arial" w:eastAsia="Arial" w:hAnsi="Arial" w:cs="Arial"/>
          <w:color w:val="000000"/>
          <w:sz w:val="24"/>
          <w:szCs w:val="24"/>
        </w:rPr>
        <w:t>στην ανάπτυξη και υλοποίηση καινοτόμων δράσεων αναβάθμισης και ποιοτικού ελέγχου του χαρτοφυλακίου της ΕΤΑΔ ΑΕ</w:t>
      </w:r>
      <w:r w:rsidRPr="00633F10">
        <w:rPr>
          <w:rFonts w:ascii="Arial" w:hAnsi="Arial" w:cs="Arial"/>
          <w:color w:val="000000"/>
          <w:sz w:val="24"/>
          <w:szCs w:val="24"/>
        </w:rPr>
        <w:t xml:space="preserve"> </w:t>
      </w:r>
      <w:r w:rsidRPr="00633F10">
        <w:rPr>
          <w:rFonts w:ascii="Arial" w:eastAsia="Arial" w:hAnsi="Arial" w:cs="Arial"/>
          <w:sz w:val="24"/>
          <w:szCs w:val="24"/>
        </w:rPr>
        <w:t xml:space="preserve">καθώς και </w:t>
      </w:r>
    </w:p>
    <w:p w:rsidR="00562498" w:rsidRPr="00633F10" w:rsidRDefault="00562498" w:rsidP="00213288">
      <w:pPr>
        <w:numPr>
          <w:ilvl w:val="0"/>
          <w:numId w:val="2"/>
        </w:numPr>
        <w:pBdr>
          <w:top w:val="nil"/>
          <w:left w:val="nil"/>
          <w:bottom w:val="nil"/>
          <w:right w:val="nil"/>
          <w:between w:val="nil"/>
        </w:pBdr>
        <w:shd w:val="clear" w:color="auto" w:fill="FFFFFF"/>
        <w:spacing w:before="120" w:after="120" w:line="240" w:lineRule="auto"/>
        <w:jc w:val="both"/>
        <w:rPr>
          <w:rFonts w:ascii="Arial" w:hAnsi="Arial" w:cs="Arial"/>
          <w:color w:val="000000"/>
          <w:sz w:val="24"/>
          <w:szCs w:val="24"/>
        </w:rPr>
      </w:pPr>
      <w:r w:rsidRPr="00633F10">
        <w:rPr>
          <w:rFonts w:ascii="Arial" w:eastAsia="Arial" w:hAnsi="Arial" w:cs="Arial"/>
          <w:sz w:val="24"/>
          <w:szCs w:val="24"/>
        </w:rPr>
        <w:t xml:space="preserve">της επαύξησης κατ’ αυτό τον τρόπο της περιουσιακής αξίας του χαρτοφυλακίου της. </w:t>
      </w:r>
    </w:p>
    <w:p w:rsidR="00562498" w:rsidRPr="00633F10" w:rsidRDefault="001E2F27" w:rsidP="00213288">
      <w:pPr>
        <w:shd w:val="clear" w:color="auto" w:fill="FFFFFF"/>
        <w:spacing w:before="120" w:after="120" w:line="240" w:lineRule="auto"/>
        <w:jc w:val="both"/>
        <w:rPr>
          <w:rFonts w:ascii="Arial" w:eastAsia="Arial" w:hAnsi="Arial" w:cs="Arial"/>
          <w:sz w:val="24"/>
          <w:szCs w:val="24"/>
        </w:rPr>
      </w:pPr>
      <w:r w:rsidRPr="00633F10">
        <w:rPr>
          <w:rFonts w:ascii="Arial" w:eastAsia="Arial" w:hAnsi="Arial" w:cs="Arial"/>
          <w:sz w:val="24"/>
          <w:szCs w:val="24"/>
        </w:rPr>
        <w:t>Επίσης</w:t>
      </w:r>
      <w:r w:rsidR="00562498" w:rsidRPr="00633F10">
        <w:rPr>
          <w:rFonts w:ascii="Arial" w:eastAsia="Arial" w:hAnsi="Arial" w:cs="Arial"/>
          <w:sz w:val="24"/>
          <w:szCs w:val="24"/>
        </w:rPr>
        <w:t xml:space="preserve">, στο μνημόνιο περιγράφεται ότι ΤΕΕ και ΤΜΕΔΕ θα συνδράμουν: </w:t>
      </w:r>
    </w:p>
    <w:p w:rsidR="00562498" w:rsidRPr="00633F10" w:rsidRDefault="00562498" w:rsidP="00213288">
      <w:pPr>
        <w:numPr>
          <w:ilvl w:val="0"/>
          <w:numId w:val="1"/>
        </w:numPr>
        <w:pBdr>
          <w:top w:val="nil"/>
          <w:left w:val="nil"/>
          <w:bottom w:val="nil"/>
          <w:right w:val="nil"/>
          <w:between w:val="nil"/>
        </w:pBdr>
        <w:shd w:val="clear" w:color="auto" w:fill="FFFFFF"/>
        <w:spacing w:before="120" w:after="120" w:line="240" w:lineRule="auto"/>
        <w:jc w:val="both"/>
        <w:rPr>
          <w:rFonts w:ascii="Arial" w:hAnsi="Arial" w:cs="Arial"/>
          <w:color w:val="000000"/>
          <w:sz w:val="24"/>
          <w:szCs w:val="24"/>
        </w:rPr>
      </w:pPr>
      <w:r w:rsidRPr="00633F10">
        <w:rPr>
          <w:rFonts w:ascii="Arial" w:eastAsia="Arial" w:hAnsi="Arial" w:cs="Arial"/>
          <w:color w:val="000000"/>
          <w:sz w:val="24"/>
          <w:szCs w:val="24"/>
        </w:rPr>
        <w:t xml:space="preserve">στη διερεύνηση παροχής χρηματοδοτικών εργαλείων για την περαιτέρω ανάπτυξη του χαρτοφυλακίου των ακινήτων της ΕΤΑΔ ΑΕ  </w:t>
      </w:r>
    </w:p>
    <w:p w:rsidR="00562498" w:rsidRPr="00633F10" w:rsidRDefault="00562498" w:rsidP="00213288">
      <w:pPr>
        <w:numPr>
          <w:ilvl w:val="0"/>
          <w:numId w:val="1"/>
        </w:numPr>
        <w:pBdr>
          <w:top w:val="nil"/>
          <w:left w:val="nil"/>
          <w:bottom w:val="nil"/>
          <w:right w:val="nil"/>
          <w:between w:val="nil"/>
        </w:pBdr>
        <w:shd w:val="clear" w:color="auto" w:fill="FFFFFF"/>
        <w:spacing w:before="120" w:after="120" w:line="240" w:lineRule="auto"/>
        <w:jc w:val="both"/>
        <w:rPr>
          <w:rFonts w:ascii="Arial" w:hAnsi="Arial" w:cs="Arial"/>
          <w:color w:val="000000"/>
          <w:sz w:val="24"/>
          <w:szCs w:val="24"/>
        </w:rPr>
      </w:pPr>
      <w:r w:rsidRPr="00633F10">
        <w:rPr>
          <w:rFonts w:ascii="Arial" w:eastAsia="Arial" w:hAnsi="Arial" w:cs="Arial"/>
          <w:color w:val="000000"/>
          <w:sz w:val="24"/>
          <w:szCs w:val="24"/>
        </w:rPr>
        <w:t>στη βελτίωση γνώσεων και δεξιοτήτων του ανθρώπινου δυναμικού της ΕΤΑΔ ΑΕ</w:t>
      </w:r>
    </w:p>
    <w:p w:rsidR="00562498" w:rsidRPr="00633F10" w:rsidRDefault="00562498" w:rsidP="00213288">
      <w:pPr>
        <w:shd w:val="clear" w:color="auto" w:fill="FFFFFF"/>
        <w:spacing w:before="120" w:after="120" w:line="240" w:lineRule="auto"/>
        <w:jc w:val="both"/>
        <w:rPr>
          <w:rFonts w:ascii="Arial" w:eastAsia="Arial" w:hAnsi="Arial" w:cs="Arial"/>
          <w:sz w:val="24"/>
          <w:szCs w:val="24"/>
        </w:rPr>
      </w:pPr>
      <w:r w:rsidRPr="00633F10">
        <w:rPr>
          <w:rFonts w:ascii="Arial" w:eastAsia="Arial" w:hAnsi="Arial" w:cs="Arial"/>
          <w:sz w:val="24"/>
          <w:szCs w:val="24"/>
        </w:rPr>
        <w:t>Στο πλαίσιο του Μνημονίου Συνεργασίας εκτιμάται ότι θα αναπτυχθούν πολύτιμες συνέργειες με πολλαπλασιαστικά αποτελέσματα και οικονομίες κλίμακας που θα συμβάλουν σημαντικά στην αναβάθμιση της επιχειρησιακής λειτουργίας της ΕΤΑΔ. Οι συγκεκριμένες δράσεις που θα αναληφθούν</w:t>
      </w:r>
      <w:r w:rsidR="001E2F27" w:rsidRPr="00633F10">
        <w:rPr>
          <w:rFonts w:ascii="Arial" w:eastAsia="Arial" w:hAnsi="Arial" w:cs="Arial"/>
          <w:sz w:val="24"/>
          <w:szCs w:val="24"/>
        </w:rPr>
        <w:t>,</w:t>
      </w:r>
      <w:r w:rsidRPr="00633F10">
        <w:rPr>
          <w:rFonts w:ascii="Arial" w:eastAsia="Arial" w:hAnsi="Arial" w:cs="Arial"/>
          <w:sz w:val="24"/>
          <w:szCs w:val="24"/>
        </w:rPr>
        <w:t xml:space="preserve"> θα περιλαμβάνονται και θα περιγράφονται αναλυτικά σε επιμέρους εξειδικευμένες συμφωνίες που θα ακολουθήσουν.</w:t>
      </w:r>
    </w:p>
    <w:p w:rsidR="00562498" w:rsidRPr="00633F10" w:rsidRDefault="00562498" w:rsidP="00213288">
      <w:pPr>
        <w:shd w:val="clear" w:color="auto" w:fill="FFFFFF"/>
        <w:spacing w:before="120" w:after="120" w:line="240" w:lineRule="auto"/>
        <w:jc w:val="both"/>
        <w:rPr>
          <w:rFonts w:ascii="Arial" w:eastAsia="Arial" w:hAnsi="Arial" w:cs="Arial"/>
          <w:sz w:val="24"/>
          <w:szCs w:val="24"/>
        </w:rPr>
      </w:pPr>
      <w:r w:rsidRPr="00633F10">
        <w:rPr>
          <w:rFonts w:ascii="Arial" w:eastAsia="Arial" w:hAnsi="Arial" w:cs="Arial"/>
          <w:sz w:val="24"/>
          <w:szCs w:val="24"/>
        </w:rPr>
        <w:t xml:space="preserve">Η δυναμική και η προστιθέμενη αξία από τη νέα αυτή συνεργασία προκύπτει από το γεγονός ότι ΤΕΕ και ΤΜΕΔΕ </w:t>
      </w:r>
      <w:r w:rsidR="001D05D2" w:rsidRPr="00633F10">
        <w:rPr>
          <w:rFonts w:ascii="Arial" w:eastAsia="Arial" w:hAnsi="Arial" w:cs="Arial"/>
          <w:sz w:val="24"/>
          <w:szCs w:val="24"/>
        </w:rPr>
        <w:t>έχουν την τεχνογνωσία και το τεχνικό δυναμικό, ώστε να ενισχύσουν και να διευκολύνουν το έργο της ΕΤΑΔ ΑΕ</w:t>
      </w:r>
      <w:r w:rsidR="00633F10" w:rsidRPr="00633F10">
        <w:rPr>
          <w:rFonts w:ascii="Arial" w:eastAsia="Arial" w:hAnsi="Arial" w:cs="Arial"/>
          <w:sz w:val="24"/>
          <w:szCs w:val="24"/>
        </w:rPr>
        <w:t>.</w:t>
      </w:r>
    </w:p>
    <w:p w:rsidR="00562498" w:rsidRPr="00633F10" w:rsidRDefault="00562498" w:rsidP="00213288">
      <w:pPr>
        <w:shd w:val="clear" w:color="auto" w:fill="FFFFFF"/>
        <w:spacing w:before="120" w:after="120" w:line="240" w:lineRule="auto"/>
        <w:jc w:val="both"/>
        <w:rPr>
          <w:rFonts w:ascii="Arial" w:eastAsia="Arial" w:hAnsi="Arial" w:cs="Arial"/>
          <w:sz w:val="24"/>
          <w:szCs w:val="24"/>
        </w:rPr>
      </w:pPr>
      <w:r w:rsidRPr="00633F10">
        <w:rPr>
          <w:rFonts w:ascii="Arial" w:eastAsia="Arial" w:hAnsi="Arial" w:cs="Arial"/>
          <w:sz w:val="24"/>
          <w:szCs w:val="24"/>
        </w:rPr>
        <w:lastRenderedPageBreak/>
        <w:t>Η συνεργασία αυτή πιστοποιεί τη δυναμική που προκύπτει από την συνέργεια ΤΕΕ και ΤΜΕΔΕ</w:t>
      </w:r>
      <w:r w:rsidR="001E2F27" w:rsidRPr="00633F10">
        <w:rPr>
          <w:rFonts w:ascii="Arial" w:eastAsia="Arial" w:hAnsi="Arial" w:cs="Arial"/>
          <w:sz w:val="24"/>
          <w:szCs w:val="24"/>
        </w:rPr>
        <w:t xml:space="preserve">, </w:t>
      </w:r>
      <w:r w:rsidRPr="00633F10">
        <w:rPr>
          <w:rFonts w:ascii="Arial" w:eastAsia="Arial" w:hAnsi="Arial" w:cs="Arial"/>
          <w:sz w:val="24"/>
          <w:szCs w:val="24"/>
        </w:rPr>
        <w:t xml:space="preserve">αλλά και τη δυνατότητα που δίνεται σε φορείς, όπως η ΕΤΑΔ να </w:t>
      </w:r>
      <w:r w:rsidR="001E2F27" w:rsidRPr="00633F10">
        <w:rPr>
          <w:rFonts w:ascii="Arial" w:eastAsia="Arial" w:hAnsi="Arial" w:cs="Arial"/>
          <w:sz w:val="24"/>
          <w:szCs w:val="24"/>
        </w:rPr>
        <w:t>αξιοποιήσουν</w:t>
      </w:r>
      <w:r w:rsidRPr="00633F10">
        <w:rPr>
          <w:rFonts w:ascii="Arial" w:eastAsia="Arial" w:hAnsi="Arial" w:cs="Arial"/>
          <w:sz w:val="24"/>
          <w:szCs w:val="24"/>
        </w:rPr>
        <w:t xml:space="preserve"> αυτή την εμπειρία, γνώση και εξειδίκευση επ’ ωφέλεια του σκοπού τους και του δημοσίου συμφέροντος. ΤΕΕ, ΤΜΕΔΕ και ΕΤΑΔ ΑΕ δείχνουν τον δρόμο όπου φορείς συνεργάζονται, ώστε να μεγιστοποιήσουν την ωφέλεια που δίνουν στην κοινωνία, ενεργοποιώντας την προστιθέμενη γνώση των μελών των οργανισμών τους. </w:t>
      </w:r>
    </w:p>
    <w:p w:rsidR="001E2F27" w:rsidRPr="00633F10" w:rsidRDefault="00562498" w:rsidP="00213288">
      <w:pPr>
        <w:shd w:val="clear" w:color="auto" w:fill="FFFFFF"/>
        <w:spacing w:before="120" w:after="120" w:line="240" w:lineRule="auto"/>
        <w:jc w:val="both"/>
        <w:rPr>
          <w:rFonts w:ascii="Arial" w:eastAsia="Arial" w:hAnsi="Arial" w:cs="Arial"/>
          <w:b/>
          <w:sz w:val="24"/>
          <w:szCs w:val="24"/>
        </w:rPr>
      </w:pPr>
      <w:r w:rsidRPr="00633F10">
        <w:rPr>
          <w:rFonts w:ascii="Arial" w:eastAsia="Arial" w:hAnsi="Arial" w:cs="Arial"/>
          <w:b/>
          <w:sz w:val="24"/>
          <w:szCs w:val="24"/>
        </w:rPr>
        <w:t xml:space="preserve">Αμέσως μετά την υπογραφή της συμφωνίας </w:t>
      </w:r>
      <w:r w:rsidR="001E2F27" w:rsidRPr="00633F10">
        <w:rPr>
          <w:rFonts w:ascii="Arial" w:eastAsia="Arial" w:hAnsi="Arial" w:cs="Arial"/>
          <w:b/>
          <w:bCs/>
          <w:sz w:val="24"/>
          <w:szCs w:val="24"/>
        </w:rPr>
        <w:t>ο</w:t>
      </w:r>
      <w:r w:rsidR="001E2F27" w:rsidRPr="00633F10">
        <w:rPr>
          <w:rFonts w:ascii="Arial" w:eastAsia="Arial" w:hAnsi="Arial" w:cs="Arial"/>
          <w:sz w:val="24"/>
          <w:szCs w:val="24"/>
        </w:rPr>
        <w:t xml:space="preserve"> </w:t>
      </w:r>
      <w:r w:rsidR="001E2F27" w:rsidRPr="00633F10">
        <w:rPr>
          <w:rFonts w:ascii="Arial" w:eastAsia="Arial" w:hAnsi="Arial" w:cs="Arial"/>
          <w:b/>
          <w:sz w:val="24"/>
          <w:szCs w:val="24"/>
        </w:rPr>
        <w:t>Εντεταλμένος Σύμβουλος και Εκτελών χρέη Διευθύνοντος Συμβούλου, κ Παναγιώτης Μπαλωμένος</w:t>
      </w:r>
      <w:r w:rsidR="001E2F27" w:rsidRPr="00633F10">
        <w:rPr>
          <w:rFonts w:ascii="Arial" w:eastAsia="Arial" w:hAnsi="Arial" w:cs="Arial"/>
          <w:sz w:val="24"/>
          <w:szCs w:val="24"/>
        </w:rPr>
        <w:t xml:space="preserve"> σημείωσε χαρακτηριστικά: «Η ΕΤΑΔ ΑΕ με ένα συνεκτικό στρατηγικό σχέδιο δράσεων προετοιμάζεται για μία αλλαγή σελίδας. Μέρος αυτής της στρατηγικής αποτελεί το σημερινό μνημόνιο συνεργασίας με το ΤΕΕ και το ΤΜΕΔΕ. Επιδιώξαμε και δουλέψαμε αρκετά γι’ αυτή τη θεσμική συνεργασία την οποία θα ακολουθήσουν και άλλες. Είμαστε βέβαιοι ότι θα στεφθεί με επιτυχία και πλέον η ΕΤΑΔ ΑΕ θα μπορέσει να εκπληρώσει τους στόχους της με μεγαλύτερη ταχύτητα, ευελιξία και αποτελεσματικότητα προς όφελος του Ελληνικού Δημοσίου, της ανάπτυξης των τοπικών κοινωνιών και της χώρας συνολικά, σύμφωνα με την αποστολή της». </w:t>
      </w:r>
    </w:p>
    <w:p w:rsidR="00562498" w:rsidRPr="00633F10" w:rsidRDefault="001E2F27" w:rsidP="001E2F27">
      <w:pPr>
        <w:shd w:val="clear" w:color="auto" w:fill="FFFFFF"/>
        <w:spacing w:before="120" w:after="120" w:line="240" w:lineRule="auto"/>
        <w:jc w:val="both"/>
        <w:rPr>
          <w:rFonts w:ascii="Arial" w:eastAsia="Arial" w:hAnsi="Arial" w:cs="Arial"/>
          <w:b/>
          <w:sz w:val="24"/>
          <w:szCs w:val="24"/>
        </w:rPr>
      </w:pPr>
      <w:r w:rsidRPr="00633F10">
        <w:rPr>
          <w:rFonts w:ascii="Arial" w:eastAsia="Arial" w:hAnsi="Arial" w:cs="Arial"/>
          <w:b/>
          <w:sz w:val="24"/>
          <w:szCs w:val="24"/>
        </w:rPr>
        <w:t xml:space="preserve">Από την πλευρά του </w:t>
      </w:r>
      <w:r w:rsidR="00562498" w:rsidRPr="00633F10">
        <w:rPr>
          <w:rFonts w:ascii="Arial" w:eastAsia="Arial" w:hAnsi="Arial" w:cs="Arial"/>
          <w:b/>
          <w:sz w:val="24"/>
          <w:szCs w:val="24"/>
        </w:rPr>
        <w:t>ο Πρόεδρος του ΤΕΕ</w:t>
      </w:r>
      <w:r w:rsidRPr="00633F10">
        <w:rPr>
          <w:rFonts w:ascii="Arial" w:eastAsia="Arial" w:hAnsi="Arial" w:cs="Arial"/>
          <w:b/>
          <w:sz w:val="24"/>
          <w:szCs w:val="24"/>
        </w:rPr>
        <w:t xml:space="preserve">, </w:t>
      </w:r>
      <w:r w:rsidR="00562498" w:rsidRPr="00633F10">
        <w:rPr>
          <w:rFonts w:ascii="Arial" w:eastAsia="Arial" w:hAnsi="Arial" w:cs="Arial"/>
          <w:b/>
          <w:sz w:val="24"/>
          <w:szCs w:val="24"/>
        </w:rPr>
        <w:t>κ. Γιώργος Στασινός</w:t>
      </w:r>
      <w:r w:rsidR="00562498" w:rsidRPr="00633F10">
        <w:rPr>
          <w:rFonts w:ascii="Arial" w:eastAsia="Arial" w:hAnsi="Arial" w:cs="Arial"/>
          <w:sz w:val="24"/>
          <w:szCs w:val="24"/>
        </w:rPr>
        <w:t xml:space="preserve"> δήλωσε: </w:t>
      </w:r>
    </w:p>
    <w:p w:rsidR="00562498" w:rsidRPr="00633F10" w:rsidRDefault="00562498" w:rsidP="00213288">
      <w:pPr>
        <w:shd w:val="clear" w:color="auto" w:fill="FFFFFF"/>
        <w:spacing w:before="120" w:after="120" w:line="240" w:lineRule="auto"/>
        <w:jc w:val="both"/>
        <w:rPr>
          <w:rFonts w:ascii="Arial" w:eastAsia="Arial" w:hAnsi="Arial" w:cs="Arial"/>
          <w:i/>
          <w:sz w:val="24"/>
          <w:szCs w:val="24"/>
        </w:rPr>
      </w:pPr>
      <w:r w:rsidRPr="00633F10">
        <w:rPr>
          <w:rFonts w:ascii="Arial" w:eastAsia="Arial" w:hAnsi="Arial" w:cs="Arial"/>
          <w:i/>
          <w:sz w:val="24"/>
          <w:szCs w:val="24"/>
        </w:rPr>
        <w:t>«</w:t>
      </w:r>
      <w:r w:rsidRPr="00633F10">
        <w:rPr>
          <w:rFonts w:ascii="Arial" w:eastAsia="Arial" w:hAnsi="Arial" w:cs="Arial"/>
          <w:iCs/>
          <w:sz w:val="24"/>
          <w:szCs w:val="24"/>
        </w:rPr>
        <w:t>Το ΤΕΕ, πιστό στο θεσμικό του ρόλο ως τεχνικού συμβούλου της Πολιτείας και της κυβέρνησης, στέκεται δίπλα στους φορείς του δημοσίου που επιδιώκουν να υπηρετήσουν το δημόσιο συμφέρον και τη βιώσιμη ανάπτυξη. Επιλέγουμε να πράττουμε όπου μπορούμε για να λυθούν προβλήματα και να συνδράμουμε όπου μας ζητείται για να δημιουργούμε αξία για την κοινωνία και τους πολίτες. Οι Έλληνες μηχανικοί γνωρίζουμε πώς και τί πρέπει να γίνει για να προχωρήσουν επενδύσεις ειδικά στον τομέα των ακινήτων. Για αυτό στεκόμαστε δίπλα στην ΕΤΑΔ, προκειμένου να διευκολυνθεί η αξιοποίηση των ακινήτων του Δημοσίου. Μαζί με το ΤΜΕΔΕ αναλαμβάνουμε να χρησιμοποιήσουμε αυτή τη διεπιστημονική γνώση των Ελλήνων Μηχανικών προς όφελος της χώρας</w:t>
      </w:r>
      <w:r w:rsidRPr="00633F10">
        <w:rPr>
          <w:rFonts w:ascii="Arial" w:eastAsia="Arial" w:hAnsi="Arial" w:cs="Arial"/>
          <w:i/>
          <w:sz w:val="24"/>
          <w:szCs w:val="24"/>
        </w:rPr>
        <w:t>».</w:t>
      </w:r>
    </w:p>
    <w:p w:rsidR="00562498" w:rsidRPr="00102257" w:rsidRDefault="00562498" w:rsidP="00213288">
      <w:pPr>
        <w:spacing w:before="120" w:after="120" w:line="240" w:lineRule="auto"/>
        <w:jc w:val="both"/>
        <w:rPr>
          <w:rFonts w:ascii="Arial" w:hAnsi="Arial" w:cs="Arial"/>
          <w:sz w:val="24"/>
          <w:szCs w:val="24"/>
        </w:rPr>
      </w:pPr>
      <w:r w:rsidRPr="00633F10">
        <w:rPr>
          <w:rFonts w:ascii="Arial" w:eastAsia="Arial" w:hAnsi="Arial" w:cs="Arial"/>
          <w:b/>
          <w:color w:val="000000"/>
          <w:sz w:val="24"/>
          <w:szCs w:val="24"/>
        </w:rPr>
        <w:t>Ο Πρόεδρος του ΤΜΕΔΕ, κ. Κωνσταντίνος Μακέδος, τόνισε</w:t>
      </w:r>
      <w:r w:rsidRPr="00633F10">
        <w:rPr>
          <w:rFonts w:ascii="Arial" w:eastAsia="Arial" w:hAnsi="Arial" w:cs="Arial"/>
          <w:b/>
          <w:i/>
          <w:color w:val="000000"/>
          <w:sz w:val="24"/>
          <w:szCs w:val="24"/>
        </w:rPr>
        <w:t>:</w:t>
      </w:r>
      <w:r w:rsidRPr="00633F10">
        <w:rPr>
          <w:rFonts w:ascii="Arial" w:eastAsia="Arial" w:hAnsi="Arial" w:cs="Arial"/>
          <w:i/>
          <w:color w:val="000000"/>
          <w:sz w:val="24"/>
          <w:szCs w:val="24"/>
        </w:rPr>
        <w:t xml:space="preserve"> «</w:t>
      </w:r>
      <w:r w:rsidRPr="00633F10">
        <w:rPr>
          <w:rFonts w:ascii="Arial" w:eastAsia="Arial" w:hAnsi="Arial" w:cs="Arial"/>
          <w:iCs/>
          <w:color w:val="000000"/>
          <w:sz w:val="24"/>
          <w:szCs w:val="24"/>
        </w:rPr>
        <w:t>Το ΤΜΕΔΕ βρίσκεται σε τροχιά αναπτυξιακής εξωστρέφειας με κύριο εργαλείο τη συμπυκνωμένη γνώση των μελών του. Μετά την ενσωμάτωση στον Όμιλο ΤΜΕΔΕ της AtticaBank Properties (εταιρείας διαχείρισης ακινήτων) και την δημιουργία της πρώτης αδειοδοτημένης από την ΤτΕ εταιρείας μικροχρηματοδοτήσεων ΤΜΕΔΕ Microfinance Solutions, υπηρετούμε με συνέπεια το στρατηγικό μας σχεδιασμό και μαζί με το ΤΕΕ υπογράφουμε μνημόνιο συνεργασίας με την ΕΤΑΔ ΑΕ, συνθέτοντας την εμπειρία και την εξειδικευμένη μας τεχνογνωσία για να συνδράμουμε από κοινού στην ενίσχυση της περιουσίας της ΕΤΑΔ Α.Ε., δημιουργώντας υπεραξίες για το καλό της εθνικής οικονομίας και της κοινωνίας</w:t>
      </w:r>
      <w:r w:rsidRPr="00633F10">
        <w:rPr>
          <w:rFonts w:ascii="Arial" w:eastAsia="Arial" w:hAnsi="Arial" w:cs="Arial"/>
          <w:i/>
          <w:color w:val="000000"/>
          <w:sz w:val="24"/>
          <w:szCs w:val="24"/>
        </w:rPr>
        <w:t>».</w:t>
      </w:r>
    </w:p>
    <w:p w:rsidR="00562498" w:rsidRPr="00102257" w:rsidRDefault="00562498" w:rsidP="00213288">
      <w:pPr>
        <w:spacing w:before="120" w:after="120" w:line="240" w:lineRule="auto"/>
        <w:jc w:val="both"/>
        <w:rPr>
          <w:rFonts w:ascii="Arial" w:eastAsia="Arial" w:hAnsi="Arial" w:cs="Arial"/>
          <w:b/>
          <w:sz w:val="24"/>
          <w:szCs w:val="24"/>
        </w:rPr>
      </w:pPr>
      <w:r w:rsidRPr="00562498">
        <w:rPr>
          <w:rFonts w:ascii="Arial" w:eastAsia="Arial" w:hAnsi="Arial" w:cs="Arial"/>
          <w:b/>
          <w:sz w:val="24"/>
          <w:szCs w:val="24"/>
        </w:rPr>
        <w:t xml:space="preserve">Για περισσότερες πληροφορίες μπορείτε να επισκεφθείτε το </w:t>
      </w:r>
      <w:r w:rsidR="00102257" w:rsidRPr="009508AE">
        <w:rPr>
          <w:rStyle w:val="-"/>
          <w:rFonts w:ascii="Arial" w:eastAsia="Arial" w:hAnsi="Arial" w:cs="Arial"/>
          <w:b/>
          <w:sz w:val="24"/>
          <w:szCs w:val="24"/>
        </w:rPr>
        <w:t>www.tmede.gr</w:t>
      </w:r>
      <w:r w:rsidR="00102257">
        <w:rPr>
          <w:rFonts w:ascii="Arial" w:eastAsia="Arial" w:hAnsi="Arial" w:cs="Arial"/>
          <w:b/>
          <w:sz w:val="24"/>
          <w:szCs w:val="24"/>
        </w:rPr>
        <w:t xml:space="preserve">, </w:t>
      </w:r>
      <w:r w:rsidRPr="00562498">
        <w:rPr>
          <w:rFonts w:ascii="Arial" w:eastAsia="Arial" w:hAnsi="Arial" w:cs="Arial"/>
          <w:b/>
          <w:color w:val="0563C1"/>
          <w:sz w:val="24"/>
          <w:szCs w:val="24"/>
          <w:u w:val="single"/>
        </w:rPr>
        <w:t>www.tee.gr</w:t>
      </w:r>
      <w:r w:rsidR="00102257">
        <w:rPr>
          <w:rFonts w:ascii="Arial" w:eastAsia="Arial" w:hAnsi="Arial" w:cs="Arial"/>
          <w:b/>
          <w:sz w:val="24"/>
          <w:szCs w:val="24"/>
        </w:rPr>
        <w:t>,</w:t>
      </w:r>
      <w:r w:rsidR="00102257" w:rsidRPr="00102257">
        <w:rPr>
          <w:rFonts w:ascii="Arial" w:eastAsia="Arial" w:hAnsi="Arial" w:cs="Arial"/>
          <w:b/>
          <w:sz w:val="24"/>
          <w:szCs w:val="24"/>
        </w:rPr>
        <w:t xml:space="preserve"> </w:t>
      </w:r>
      <w:r w:rsidR="00102257" w:rsidRPr="009508AE">
        <w:rPr>
          <w:rStyle w:val="-"/>
          <w:rFonts w:ascii="Arial" w:eastAsia="Arial" w:hAnsi="Arial" w:cs="Arial"/>
          <w:b/>
          <w:sz w:val="24"/>
          <w:szCs w:val="24"/>
          <w:lang w:val="en-US"/>
        </w:rPr>
        <w:t>www</w:t>
      </w:r>
      <w:r w:rsidR="00102257" w:rsidRPr="009508AE">
        <w:rPr>
          <w:rStyle w:val="-"/>
          <w:rFonts w:ascii="Arial" w:eastAsia="Arial" w:hAnsi="Arial" w:cs="Arial"/>
          <w:b/>
          <w:sz w:val="24"/>
          <w:szCs w:val="24"/>
        </w:rPr>
        <w:t>.</w:t>
      </w:r>
      <w:r w:rsidR="00102257" w:rsidRPr="009508AE">
        <w:rPr>
          <w:rStyle w:val="-"/>
          <w:rFonts w:ascii="Arial" w:eastAsia="Arial" w:hAnsi="Arial" w:cs="Arial"/>
          <w:b/>
          <w:sz w:val="24"/>
          <w:szCs w:val="24"/>
          <w:lang w:val="en-US"/>
        </w:rPr>
        <w:t>hppc</w:t>
      </w:r>
      <w:r w:rsidR="00102257" w:rsidRPr="009508AE">
        <w:rPr>
          <w:rStyle w:val="-"/>
          <w:rFonts w:ascii="Arial" w:eastAsia="Arial" w:hAnsi="Arial" w:cs="Arial"/>
          <w:b/>
          <w:sz w:val="24"/>
          <w:szCs w:val="24"/>
        </w:rPr>
        <w:t>.</w:t>
      </w:r>
      <w:r w:rsidR="00102257" w:rsidRPr="009508AE">
        <w:rPr>
          <w:rStyle w:val="-"/>
          <w:rFonts w:ascii="Arial" w:eastAsia="Arial" w:hAnsi="Arial" w:cs="Arial"/>
          <w:b/>
          <w:sz w:val="24"/>
          <w:szCs w:val="24"/>
          <w:lang w:val="en-US"/>
        </w:rPr>
        <w:t>gr</w:t>
      </w:r>
      <w:r w:rsidR="00102257" w:rsidRPr="00102257">
        <w:rPr>
          <w:rFonts w:ascii="Arial" w:eastAsia="Arial" w:hAnsi="Arial" w:cs="Arial"/>
          <w:b/>
          <w:sz w:val="24"/>
          <w:szCs w:val="24"/>
        </w:rPr>
        <w:t xml:space="preserve"> </w:t>
      </w:r>
    </w:p>
    <w:p w:rsidR="00562498" w:rsidRPr="00562498" w:rsidRDefault="00562498" w:rsidP="00562498">
      <w:pPr>
        <w:spacing w:before="120" w:after="120"/>
        <w:rPr>
          <w:rFonts w:ascii="Arial" w:eastAsia="Arial" w:hAnsi="Arial" w:cs="Arial"/>
          <w:b/>
          <w:sz w:val="24"/>
          <w:szCs w:val="24"/>
        </w:rPr>
      </w:pPr>
    </w:p>
    <w:p w:rsidR="000A2314" w:rsidRPr="00562498" w:rsidRDefault="000A2314">
      <w:pPr>
        <w:rPr>
          <w:rFonts w:ascii="Arial" w:hAnsi="Arial" w:cs="Arial"/>
          <w:sz w:val="24"/>
          <w:szCs w:val="24"/>
        </w:rPr>
      </w:pPr>
    </w:p>
    <w:sectPr w:rsidR="000A2314" w:rsidRPr="00562498" w:rsidSect="00202C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252DF"/>
    <w:multiLevelType w:val="multilevel"/>
    <w:tmpl w:val="16F87780"/>
    <w:lvl w:ilvl="0">
      <w:start w:val="7"/>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9652078"/>
    <w:multiLevelType w:val="multilevel"/>
    <w:tmpl w:val="934893C4"/>
    <w:lvl w:ilvl="0">
      <w:start w:val="97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62498"/>
    <w:rsid w:val="000A2314"/>
    <w:rsid w:val="00102257"/>
    <w:rsid w:val="001D05D2"/>
    <w:rsid w:val="001E2F27"/>
    <w:rsid w:val="00202CDE"/>
    <w:rsid w:val="00213288"/>
    <w:rsid w:val="002C6780"/>
    <w:rsid w:val="002F308D"/>
    <w:rsid w:val="00316F6F"/>
    <w:rsid w:val="00352275"/>
    <w:rsid w:val="00400D18"/>
    <w:rsid w:val="00562498"/>
    <w:rsid w:val="00633F10"/>
    <w:rsid w:val="006F2F84"/>
    <w:rsid w:val="00A13207"/>
    <w:rsid w:val="00B5429E"/>
    <w:rsid w:val="00C87F93"/>
    <w:rsid w:val="00F512F6"/>
    <w:rsid w:val="00F74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498"/>
    <w:pPr>
      <w:spacing w:line="256" w:lineRule="auto"/>
    </w:pPr>
    <w:rPr>
      <w:rFonts w:ascii="Calibri" w:eastAsia="Calibri" w:hAnsi="Calibri" w:cs="Calibri"/>
      <w:kern w:val="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498"/>
    <w:pPr>
      <w:spacing w:after="0" w:line="240" w:lineRule="auto"/>
    </w:pPr>
    <w:rPr>
      <w:rFonts w:ascii="Calibri" w:eastAsia="Calibri" w:hAnsi="Calibri" w:cs="Calibri"/>
      <w:kern w:val="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02257"/>
    <w:rPr>
      <w:sz w:val="16"/>
      <w:szCs w:val="16"/>
    </w:rPr>
  </w:style>
  <w:style w:type="paragraph" w:styleId="a5">
    <w:name w:val="annotation text"/>
    <w:basedOn w:val="a"/>
    <w:link w:val="Char"/>
    <w:uiPriority w:val="99"/>
    <w:unhideWhenUsed/>
    <w:rsid w:val="00102257"/>
    <w:pPr>
      <w:spacing w:line="240" w:lineRule="auto"/>
    </w:pPr>
    <w:rPr>
      <w:sz w:val="20"/>
      <w:szCs w:val="20"/>
    </w:rPr>
  </w:style>
  <w:style w:type="character" w:customStyle="1" w:styleId="Char">
    <w:name w:val="Κείμενο σχολίου Char"/>
    <w:basedOn w:val="a0"/>
    <w:link w:val="a5"/>
    <w:uiPriority w:val="99"/>
    <w:rsid w:val="00102257"/>
    <w:rPr>
      <w:rFonts w:ascii="Calibri" w:eastAsia="Calibri" w:hAnsi="Calibri" w:cs="Calibri"/>
      <w:kern w:val="0"/>
      <w:sz w:val="20"/>
      <w:szCs w:val="20"/>
      <w:lang w:eastAsia="el-GR"/>
    </w:rPr>
  </w:style>
  <w:style w:type="paragraph" w:styleId="a6">
    <w:name w:val="annotation subject"/>
    <w:basedOn w:val="a5"/>
    <w:next w:val="a5"/>
    <w:link w:val="Char0"/>
    <w:uiPriority w:val="99"/>
    <w:semiHidden/>
    <w:unhideWhenUsed/>
    <w:rsid w:val="00102257"/>
    <w:rPr>
      <w:b/>
      <w:bCs/>
    </w:rPr>
  </w:style>
  <w:style w:type="character" w:customStyle="1" w:styleId="Char0">
    <w:name w:val="Θέμα σχολίου Char"/>
    <w:basedOn w:val="Char"/>
    <w:link w:val="a6"/>
    <w:uiPriority w:val="99"/>
    <w:semiHidden/>
    <w:rsid w:val="00102257"/>
    <w:rPr>
      <w:rFonts w:ascii="Calibri" w:eastAsia="Calibri" w:hAnsi="Calibri" w:cs="Calibri"/>
      <w:b/>
      <w:bCs/>
      <w:kern w:val="0"/>
      <w:sz w:val="20"/>
      <w:szCs w:val="20"/>
      <w:lang w:eastAsia="el-GR"/>
    </w:rPr>
  </w:style>
  <w:style w:type="character" w:styleId="-">
    <w:name w:val="Hyperlink"/>
    <w:basedOn w:val="a0"/>
    <w:uiPriority w:val="99"/>
    <w:unhideWhenUsed/>
    <w:rsid w:val="00102257"/>
    <w:rPr>
      <w:color w:val="0563C1" w:themeColor="hyperlink"/>
      <w:u w:val="single"/>
    </w:rPr>
  </w:style>
  <w:style w:type="character" w:customStyle="1" w:styleId="UnresolvedMention">
    <w:name w:val="Unresolved Mention"/>
    <w:basedOn w:val="a0"/>
    <w:uiPriority w:val="99"/>
    <w:semiHidden/>
    <w:unhideWhenUsed/>
    <w:rsid w:val="00102257"/>
    <w:rPr>
      <w:color w:val="605E5C"/>
      <w:shd w:val="clear" w:color="auto" w:fill="E1DFDD"/>
    </w:rPr>
  </w:style>
  <w:style w:type="paragraph" w:styleId="a7">
    <w:name w:val="Revision"/>
    <w:hidden/>
    <w:uiPriority w:val="99"/>
    <w:semiHidden/>
    <w:rsid w:val="006F2F84"/>
    <w:pPr>
      <w:spacing w:after="0" w:line="240" w:lineRule="auto"/>
    </w:pPr>
    <w:rPr>
      <w:rFonts w:ascii="Calibri" w:eastAsia="Calibri" w:hAnsi="Calibri" w:cs="Calibri"/>
      <w:kern w:val="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HPPC SA</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Pardalis Panagiotis</dc:creator>
  <cp:lastModifiedBy>press</cp:lastModifiedBy>
  <cp:revision>2</cp:revision>
  <dcterms:created xsi:type="dcterms:W3CDTF">2023-07-26T07:47:00Z</dcterms:created>
  <dcterms:modified xsi:type="dcterms:W3CDTF">2023-07-26T07:47:00Z</dcterms:modified>
</cp:coreProperties>
</file>