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B6500" w14:textId="68988821" w:rsidR="00F63FFB" w:rsidRPr="00ED32D0" w:rsidRDefault="007E618D" w:rsidP="00F63FFB">
      <w:pPr>
        <w:spacing w:line="240" w:lineRule="auto"/>
        <w:ind w:firstLine="720"/>
        <w:rPr>
          <w:rFonts w:cs="Arial"/>
          <w:noProof/>
          <w:sz w:val="96"/>
        </w:rPr>
      </w:pPr>
      <w:r>
        <w:rPr>
          <w:rFonts w:cs="Arial"/>
          <w:noProof/>
          <w:lang w:val="en-US"/>
        </w:rPr>
        <mc:AlternateContent>
          <mc:Choice Requires="wps">
            <w:drawing>
              <wp:anchor distT="0" distB="0" distL="114300" distR="114300" simplePos="0" relativeHeight="251658240" behindDoc="1" locked="0" layoutInCell="0" allowOverlap="1" wp14:anchorId="62AE6B4D" wp14:editId="422034DB">
                <wp:simplePos x="0" y="0"/>
                <wp:positionH relativeFrom="column">
                  <wp:posOffset>-46990</wp:posOffset>
                </wp:positionH>
                <wp:positionV relativeFrom="paragraph">
                  <wp:posOffset>270510</wp:posOffset>
                </wp:positionV>
                <wp:extent cx="6210300" cy="366395"/>
                <wp:effectExtent l="0" t="0" r="0" b="0"/>
                <wp:wrapNone/>
                <wp:docPr id="195063089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366395"/>
                        </a:xfrm>
                        <a:prstGeom prst="rect">
                          <a:avLst/>
                        </a:prstGeom>
                        <a:solidFill>
                          <a:srgbClr val="DFDFDF"/>
                        </a:solidFill>
                        <a:ln w="9525">
                          <a:solidFill>
                            <a:srgbClr val="FFFFFF"/>
                          </a:solidFill>
                          <a:miter lim="800000"/>
                          <a:headEnd/>
                          <a:tailEnd/>
                        </a:ln>
                        <a:effectLst/>
                      </wps:spPr>
                      <wps:txbx>
                        <w:txbxContent>
                          <w:p w14:paraId="59A25CC7" w14:textId="77777777" w:rsidR="00F63FFB" w:rsidRPr="00AC1B7A" w:rsidRDefault="00F63FFB" w:rsidP="00F63FFB">
                            <w:pPr>
                              <w:jc w:val="right"/>
                              <w:rPr>
                                <w:rFonts w:ascii="Times New Roman" w:hAnsi="Times New Roman"/>
                              </w:rPr>
                            </w:pPr>
                            <w:r>
                              <w:rPr>
                                <w:rFonts w:ascii="Times New Roman" w:hAnsi="Times New Roman"/>
                                <w:b/>
                                <w:sz w:val="48"/>
                              </w:rPr>
                              <w:t>Δελτίο Τύπου</w:t>
                            </w:r>
                            <w:r w:rsidRPr="00AC1B7A">
                              <w:rPr>
                                <w:rFonts w:ascii="Times New Roman" w:hAnsi="Times New Roman"/>
                                <w:b/>
                                <w:sz w:val="48"/>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E6B4D" id="Rectangle 1" o:spid="_x0000_s1026" style="position:absolute;left:0;text-align:left;margin-left:-3.7pt;margin-top:21.3pt;width:489pt;height:2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" o:allowincell="f" fillcolor="#dfdfdf" strokecolor="white">
                <v:textbox inset="1pt,1pt,1pt,1pt">
                  <w:txbxContent>
                    <w:p w14:paraId="59A25CC7" w14:textId="77777777" w:rsidR="00F63FFB" w:rsidRPr="00AC1B7A" w:rsidRDefault="00F63FFB" w:rsidP="00F63FFB">
                      <w:pPr>
                        <w:jc w:val="right"/>
                        <w:rPr>
                          <w:rFonts w:ascii="Times New Roman" w:hAnsi="Times New Roman"/>
                        </w:rPr>
                      </w:pPr>
                      <w:r>
                        <w:rPr>
                          <w:rFonts w:ascii="Times New Roman" w:hAnsi="Times New Roman"/>
                          <w:b/>
                          <w:sz w:val="48"/>
                        </w:rPr>
                        <w:t>Δελτίο Τύπου</w:t>
                      </w:r>
                      <w:r w:rsidRPr="00AC1B7A">
                        <w:rPr>
                          <w:rFonts w:ascii="Times New Roman" w:hAnsi="Times New Roman"/>
                          <w:b/>
                          <w:sz w:val="48"/>
                        </w:rPr>
                        <w:t xml:space="preserve">  </w:t>
                      </w:r>
                    </w:p>
                  </w:txbxContent>
                </v:textbox>
              </v:rect>
            </w:pict>
          </mc:Fallback>
        </mc:AlternateContent>
      </w:r>
      <w:r w:rsidR="00F63FFB" w:rsidRPr="00ED32D0">
        <w:rPr>
          <w:rFonts w:cs="Arial"/>
          <w:b/>
          <w:bCs/>
          <w:sz w:val="96"/>
          <w:szCs w:val="72"/>
        </w:rPr>
        <w:t>TEE</w:t>
      </w:r>
      <w:r w:rsidR="00F63FFB" w:rsidRPr="00ED32D0">
        <w:rPr>
          <w:rFonts w:cs="Arial"/>
          <w:noProof/>
          <w:sz w:val="96"/>
        </w:rPr>
        <w:tab/>
      </w:r>
    </w:p>
    <w:p w14:paraId="00DE677A" w14:textId="77777777" w:rsidR="00F63FFB" w:rsidRPr="00ED32D0" w:rsidRDefault="00F63FFB" w:rsidP="00F63FFB">
      <w:pPr>
        <w:spacing w:line="240" w:lineRule="auto"/>
        <w:ind w:firstLine="720"/>
        <w:rPr>
          <w:rFonts w:cs="Arial"/>
          <w:b/>
          <w:sz w:val="16"/>
        </w:rPr>
      </w:pPr>
      <w:r>
        <w:rPr>
          <w:noProof/>
          <w:lang w:eastAsia="el-GR"/>
        </w:rPr>
        <w:drawing>
          <wp:anchor distT="0" distB="0" distL="114300" distR="114300" simplePos="0" relativeHeight="251657216" behindDoc="0" locked="0" layoutInCell="1" allowOverlap="1" wp14:anchorId="585756AB" wp14:editId="29A4CBF8">
            <wp:simplePos x="0" y="0"/>
            <wp:positionH relativeFrom="column">
              <wp:posOffset>27305</wp:posOffset>
            </wp:positionH>
            <wp:positionV relativeFrom="paragraph">
              <wp:posOffset>130810</wp:posOffset>
            </wp:positionV>
            <wp:extent cx="3048000" cy="946150"/>
            <wp:effectExtent l="0" t="0" r="0" b="0"/>
            <wp:wrapNone/>
            <wp:docPr id="1090418945" name="Picture 1" descr="LOGO H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LOGO HOR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946150"/>
                    </a:xfrm>
                    <a:prstGeom prst="rect">
                      <a:avLst/>
                    </a:prstGeom>
                    <a:noFill/>
                    <a:ln>
                      <a:noFill/>
                    </a:ln>
                  </pic:spPr>
                </pic:pic>
              </a:graphicData>
            </a:graphic>
          </wp:anchor>
        </w:drawing>
      </w:r>
      <w:r w:rsidRPr="00ED32D0">
        <w:rPr>
          <w:rFonts w:cs="Arial"/>
          <w:b/>
          <w:sz w:val="16"/>
        </w:rPr>
        <w:t>ΤΕΧΝΙΚΟ ΕΠΙΜΕΛΗΤΗΡΙΟ ΕΛΛΑΔΑΣ</w:t>
      </w:r>
    </w:p>
    <w:p w14:paraId="6F3468D1" w14:textId="77777777" w:rsidR="00F63FFB" w:rsidRPr="000F6003" w:rsidRDefault="00F63FFB" w:rsidP="000F6003">
      <w:pPr>
        <w:spacing w:after="0" w:line="240" w:lineRule="auto"/>
        <w:jc w:val="both"/>
        <w:rPr>
          <w:rFonts w:cs="Arial"/>
          <w:sz w:val="24"/>
          <w:szCs w:val="24"/>
        </w:rPr>
      </w:pPr>
    </w:p>
    <w:p w14:paraId="48A60E4A" w14:textId="77777777" w:rsidR="00F63FFB" w:rsidRPr="000F6003" w:rsidRDefault="00F63FFB" w:rsidP="000F6003">
      <w:pPr>
        <w:spacing w:after="0" w:line="240" w:lineRule="auto"/>
        <w:jc w:val="right"/>
        <w:rPr>
          <w:rFonts w:cs="Arial"/>
          <w:b/>
          <w:sz w:val="24"/>
          <w:szCs w:val="24"/>
        </w:rPr>
      </w:pPr>
    </w:p>
    <w:p w14:paraId="257F15B6" w14:textId="3B91C5E5" w:rsidR="00F63FFB" w:rsidRPr="000F6003" w:rsidRDefault="00A241C5" w:rsidP="000F6003">
      <w:pPr>
        <w:spacing w:after="0" w:line="240" w:lineRule="auto"/>
        <w:jc w:val="right"/>
        <w:rPr>
          <w:rFonts w:cs="Arial"/>
          <w:b/>
          <w:sz w:val="24"/>
          <w:szCs w:val="24"/>
        </w:rPr>
      </w:pPr>
      <w:r w:rsidRPr="00681460">
        <w:rPr>
          <w:rFonts w:cs="Arial"/>
          <w:b/>
          <w:sz w:val="24"/>
          <w:szCs w:val="24"/>
        </w:rPr>
        <w:t>1</w:t>
      </w:r>
      <w:r w:rsidR="00681460">
        <w:rPr>
          <w:rFonts w:cs="Arial"/>
          <w:b/>
          <w:sz w:val="24"/>
          <w:szCs w:val="24"/>
        </w:rPr>
        <w:t>2</w:t>
      </w:r>
      <w:r w:rsidR="00416495" w:rsidRPr="00416495">
        <w:rPr>
          <w:rFonts w:cs="Arial"/>
          <w:b/>
          <w:sz w:val="24"/>
          <w:szCs w:val="24"/>
        </w:rPr>
        <w:t xml:space="preserve"> </w:t>
      </w:r>
      <w:r w:rsidR="00416495">
        <w:rPr>
          <w:rFonts w:cs="Arial"/>
          <w:b/>
          <w:sz w:val="24"/>
          <w:szCs w:val="24"/>
        </w:rPr>
        <w:t>Απριλίου</w:t>
      </w:r>
      <w:r w:rsidR="00F63FFB" w:rsidRPr="000F6003">
        <w:rPr>
          <w:rFonts w:cs="Arial"/>
          <w:b/>
          <w:sz w:val="24"/>
          <w:szCs w:val="24"/>
        </w:rPr>
        <w:t xml:space="preserve"> 2024</w:t>
      </w:r>
    </w:p>
    <w:p w14:paraId="17709F04" w14:textId="77777777" w:rsidR="00F63FFB" w:rsidRPr="000F6003" w:rsidRDefault="00F63FFB" w:rsidP="000F6003">
      <w:pPr>
        <w:spacing w:after="0" w:line="240" w:lineRule="auto"/>
        <w:jc w:val="center"/>
        <w:rPr>
          <w:rFonts w:cs="Arial"/>
          <w:sz w:val="24"/>
          <w:szCs w:val="24"/>
        </w:rPr>
      </w:pPr>
    </w:p>
    <w:p w14:paraId="56912342" w14:textId="77777777" w:rsidR="00F63FFB" w:rsidRPr="000F6003" w:rsidRDefault="00F63FFB" w:rsidP="000F6003">
      <w:pPr>
        <w:spacing w:after="0" w:line="240" w:lineRule="auto"/>
        <w:jc w:val="center"/>
        <w:rPr>
          <w:rFonts w:cs="Arial"/>
          <w:sz w:val="24"/>
          <w:szCs w:val="24"/>
        </w:rPr>
      </w:pPr>
    </w:p>
    <w:p w14:paraId="19028DC5" w14:textId="77777777" w:rsidR="00D14D4B" w:rsidRPr="000F6003" w:rsidRDefault="00D14D4B" w:rsidP="000F6003">
      <w:pPr>
        <w:spacing w:after="0" w:line="240" w:lineRule="auto"/>
        <w:rPr>
          <w:rFonts w:cs="Arial"/>
          <w:b/>
          <w:bCs/>
          <w:sz w:val="24"/>
          <w:szCs w:val="24"/>
        </w:rPr>
      </w:pPr>
    </w:p>
    <w:p w14:paraId="6F88AB44" w14:textId="77777777" w:rsidR="00681460" w:rsidRPr="00681460" w:rsidRDefault="00681460" w:rsidP="00681460">
      <w:pPr>
        <w:spacing w:after="0" w:line="240" w:lineRule="auto"/>
        <w:jc w:val="both"/>
        <w:rPr>
          <w:rFonts w:eastAsiaTheme="minorHAnsi" w:cs="Arial"/>
          <w:b/>
          <w:bCs/>
          <w:kern w:val="2"/>
          <w:sz w:val="24"/>
          <w:szCs w:val="24"/>
          <w14:ligatures w14:val="standardContextual"/>
        </w:rPr>
      </w:pPr>
      <w:r w:rsidRPr="00681460">
        <w:rPr>
          <w:rFonts w:eastAsiaTheme="minorHAnsi" w:cs="Arial"/>
          <w:b/>
          <w:bCs/>
          <w:kern w:val="2"/>
          <w:sz w:val="24"/>
          <w:szCs w:val="24"/>
          <w14:ligatures w14:val="standardContextual"/>
        </w:rPr>
        <w:t>ΝΟΚ, έκδοση αδειών: εξώδικο ΤΕΕ για υπεράσπιση της νομιμότητας προς Δήμους Βάρης – Βούλας – Βουλιαγμένης και Αλίμου</w:t>
      </w:r>
    </w:p>
    <w:p w14:paraId="691F4D35" w14:textId="77777777" w:rsidR="00681460" w:rsidRPr="00681460" w:rsidRDefault="00681460" w:rsidP="00681460">
      <w:pPr>
        <w:spacing w:after="0" w:line="240" w:lineRule="auto"/>
        <w:jc w:val="both"/>
        <w:rPr>
          <w:rFonts w:eastAsiaTheme="minorHAnsi" w:cs="Arial"/>
          <w:kern w:val="2"/>
          <w:sz w:val="24"/>
          <w:szCs w:val="24"/>
          <w14:ligatures w14:val="standardContextual"/>
        </w:rPr>
      </w:pPr>
    </w:p>
    <w:p w14:paraId="70E1D938" w14:textId="77777777" w:rsidR="00681460" w:rsidRPr="00681460" w:rsidRDefault="00681460" w:rsidP="00681460">
      <w:pPr>
        <w:spacing w:after="0" w:line="240" w:lineRule="auto"/>
        <w:jc w:val="both"/>
        <w:rPr>
          <w:rFonts w:eastAsiaTheme="minorHAnsi" w:cs="Arial"/>
          <w:kern w:val="2"/>
          <w:sz w:val="24"/>
          <w:szCs w:val="24"/>
          <w14:ligatures w14:val="standardContextual"/>
        </w:rPr>
      </w:pPr>
      <w:r w:rsidRPr="00681460">
        <w:rPr>
          <w:rFonts w:eastAsiaTheme="minorHAnsi" w:cs="Arial"/>
          <w:kern w:val="2"/>
          <w:sz w:val="24"/>
          <w:szCs w:val="24"/>
          <w14:ligatures w14:val="standardContextual"/>
        </w:rPr>
        <w:t xml:space="preserve">Σε συνέχεια του ζητήματος που έχει δημιουργηθεί για τα θέματα εφαρμογής του Νέου Οικοδομικού Κανονισμού και της άρνησης ορισμένων δήμων να εκδίδουν οι ΥΔΟΜ άδειες δόμησης μέχρι την απόφαση του </w:t>
      </w:r>
      <w:proofErr w:type="spellStart"/>
      <w:r w:rsidRPr="00681460">
        <w:rPr>
          <w:rFonts w:eastAsiaTheme="minorHAnsi" w:cs="Arial"/>
          <w:kern w:val="2"/>
          <w:sz w:val="24"/>
          <w:szCs w:val="24"/>
          <w14:ligatures w14:val="standardContextual"/>
        </w:rPr>
        <w:t>ΣτΕ</w:t>
      </w:r>
      <w:proofErr w:type="spellEnd"/>
      <w:r w:rsidRPr="00681460">
        <w:rPr>
          <w:rFonts w:eastAsiaTheme="minorHAnsi" w:cs="Arial"/>
          <w:kern w:val="2"/>
          <w:sz w:val="24"/>
          <w:szCs w:val="24"/>
          <w14:ligatures w14:val="standardContextual"/>
        </w:rPr>
        <w:t xml:space="preserve"> επί του θέματος, το ΤΕΕ απέστειλε εξώδικο υπερασπιζόμενο τη νομιμότητα.</w:t>
      </w:r>
    </w:p>
    <w:p w14:paraId="235739EC" w14:textId="77777777" w:rsidR="00681460" w:rsidRPr="00681460" w:rsidRDefault="00681460" w:rsidP="00681460">
      <w:pPr>
        <w:spacing w:after="0" w:line="240" w:lineRule="auto"/>
        <w:jc w:val="both"/>
        <w:rPr>
          <w:rFonts w:eastAsiaTheme="minorHAnsi" w:cs="Arial"/>
          <w:kern w:val="2"/>
          <w:sz w:val="24"/>
          <w:szCs w:val="24"/>
          <w14:ligatures w14:val="standardContextual"/>
        </w:rPr>
      </w:pPr>
    </w:p>
    <w:p w14:paraId="6455E0E2" w14:textId="77777777" w:rsidR="00681460" w:rsidRPr="00681460" w:rsidRDefault="00681460" w:rsidP="00681460">
      <w:pPr>
        <w:spacing w:after="0" w:line="240" w:lineRule="auto"/>
        <w:jc w:val="both"/>
        <w:rPr>
          <w:rFonts w:eastAsiaTheme="minorHAnsi" w:cs="Arial"/>
          <w:kern w:val="2"/>
          <w:sz w:val="24"/>
          <w:szCs w:val="24"/>
          <w14:ligatures w14:val="standardContextual"/>
        </w:rPr>
      </w:pPr>
      <w:r w:rsidRPr="00681460">
        <w:rPr>
          <w:rFonts w:eastAsiaTheme="minorHAnsi" w:cs="Arial"/>
          <w:kern w:val="2"/>
          <w:sz w:val="24"/>
          <w:szCs w:val="24"/>
          <w14:ligatures w14:val="standardContextual"/>
        </w:rPr>
        <w:t xml:space="preserve">Συγκεκριμένα το Τεχνικό Επιμελητήριο Ελλάδος διά του Προέδρου ΤΕΕ απέστειλε </w:t>
      </w:r>
      <w:r w:rsidRPr="00681460">
        <w:rPr>
          <w:rFonts w:eastAsiaTheme="minorHAnsi" w:cs="Arial"/>
          <w:b/>
          <w:bCs/>
          <w:kern w:val="2"/>
          <w:sz w:val="24"/>
          <w:szCs w:val="24"/>
          <w14:ligatures w14:val="standardContextual"/>
        </w:rPr>
        <w:t>εξώδικη δήλωση – πρόσκληση – διαμαρτυρία προς τους Δήμους Βάρης – Βούλας – Βουλιαγμένης και Αλίμου με την οποία τους ζητά, για λόγους ασφάλειας δικαίου καθώς και πρόδηλης εξυπηρέτησης του δημοσίου συμφέροντος, να προβούν άμεσα στην ανάκληση των αποφάσεων που έχουν λάβει περί αναστολής των οικοδομικών αδειών</w:t>
      </w:r>
      <w:r w:rsidRPr="00681460">
        <w:rPr>
          <w:rFonts w:eastAsiaTheme="minorHAnsi" w:cs="Arial"/>
          <w:kern w:val="2"/>
          <w:sz w:val="24"/>
          <w:szCs w:val="24"/>
          <w14:ligatures w14:val="standardContextual"/>
        </w:rPr>
        <w:t xml:space="preserve"> στην χωρική περιφέρεια των Δήμων τους,</w:t>
      </w:r>
      <w:r w:rsidRPr="00681460">
        <w:rPr>
          <w:rFonts w:eastAsiaTheme="minorHAnsi" w:cs="Arial"/>
          <w:color w:val="222222"/>
          <w:kern w:val="2"/>
          <w:sz w:val="24"/>
          <w:szCs w:val="24"/>
          <w:shd w:val="clear" w:color="auto" w:fill="FFFFFF"/>
          <w14:ligatures w14:val="standardContextual"/>
        </w:rPr>
        <w:t xml:space="preserve"> «επιφυλασσόμενοι άλλως για το σύνολο των εννόμων συνεπειών σας». Μάλιστα </w:t>
      </w:r>
      <w:r w:rsidRPr="00681460">
        <w:rPr>
          <w:rFonts w:eastAsiaTheme="minorHAnsi" w:cs="Arial"/>
          <w:b/>
          <w:bCs/>
          <w:color w:val="222222"/>
          <w:kern w:val="2"/>
          <w:sz w:val="24"/>
          <w:szCs w:val="24"/>
          <w:shd w:val="clear" w:color="auto" w:fill="FFFFFF"/>
          <w14:ligatures w14:val="standardContextual"/>
        </w:rPr>
        <w:t>το ΤΕΕ κοινοποιεί το</w:t>
      </w:r>
      <w:r w:rsidRPr="00681460">
        <w:rPr>
          <w:rFonts w:eastAsiaTheme="minorHAnsi" w:cs="Arial"/>
          <w:color w:val="222222"/>
          <w:kern w:val="2"/>
          <w:sz w:val="24"/>
          <w:szCs w:val="24"/>
          <w:shd w:val="clear" w:color="auto" w:fill="FFFFFF"/>
          <w14:ligatures w14:val="standardContextual"/>
        </w:rPr>
        <w:t xml:space="preserve"> </w:t>
      </w:r>
      <w:r w:rsidRPr="00681460">
        <w:rPr>
          <w:rFonts w:eastAsiaTheme="minorHAnsi" w:cs="Arial"/>
          <w:b/>
          <w:bCs/>
          <w:color w:val="222222"/>
          <w:kern w:val="2"/>
          <w:sz w:val="24"/>
          <w:szCs w:val="24"/>
          <w:shd w:val="clear" w:color="auto" w:fill="FFFFFF"/>
          <w14:ligatures w14:val="standardContextual"/>
        </w:rPr>
        <w:t xml:space="preserve">εξώδικο </w:t>
      </w:r>
      <w:r w:rsidRPr="00681460">
        <w:rPr>
          <w:rFonts w:eastAsiaTheme="minorHAnsi" w:cs="Arial"/>
          <w:b/>
          <w:bCs/>
          <w:kern w:val="2"/>
          <w:sz w:val="24"/>
          <w:szCs w:val="24"/>
          <w14:ligatures w14:val="standardContextual"/>
        </w:rPr>
        <w:t>και προς τον Συντονιστή Αποκεντρωμένης Διοίκησης Αττικής προκειμένου να προβεί στην ακύρωση των αποφάσεων,</w:t>
      </w:r>
      <w:r w:rsidRPr="00681460">
        <w:rPr>
          <w:rFonts w:eastAsiaTheme="minorHAnsi" w:cs="Arial"/>
          <w:kern w:val="2"/>
          <w:sz w:val="24"/>
          <w:szCs w:val="24"/>
          <w14:ligatures w14:val="standardContextual"/>
        </w:rPr>
        <w:t xml:space="preserve"> στα πλαίσια των αρμοδιοτήτων του και ειδικότερα του ελέγχου νομιμότητας των πράξεων των ΟΤΑ.</w:t>
      </w:r>
    </w:p>
    <w:p w14:paraId="4DA12940" w14:textId="77777777" w:rsidR="00681460" w:rsidRPr="00681460" w:rsidRDefault="00681460" w:rsidP="00681460">
      <w:pPr>
        <w:spacing w:after="0" w:line="240" w:lineRule="auto"/>
        <w:jc w:val="both"/>
        <w:rPr>
          <w:rFonts w:eastAsiaTheme="minorHAnsi" w:cs="Arial"/>
          <w:kern w:val="2"/>
          <w:sz w:val="24"/>
          <w:szCs w:val="24"/>
          <w14:ligatures w14:val="standardContextual"/>
        </w:rPr>
      </w:pPr>
    </w:p>
    <w:p w14:paraId="3AB84C59" w14:textId="5982FB92" w:rsidR="00681460" w:rsidRPr="00681460" w:rsidRDefault="00681460" w:rsidP="00681460">
      <w:pPr>
        <w:spacing w:after="0" w:line="240" w:lineRule="auto"/>
        <w:jc w:val="both"/>
        <w:rPr>
          <w:rFonts w:eastAsiaTheme="minorHAnsi" w:cs="Arial"/>
          <w:kern w:val="2"/>
          <w:sz w:val="24"/>
          <w:szCs w:val="24"/>
          <w14:ligatures w14:val="standardContextual"/>
        </w:rPr>
      </w:pPr>
      <w:r w:rsidRPr="00681460">
        <w:rPr>
          <w:rFonts w:eastAsiaTheme="minorHAnsi" w:cs="Arial"/>
          <w:kern w:val="2"/>
          <w:sz w:val="24"/>
          <w:szCs w:val="24"/>
          <w14:ligatures w14:val="standardContextual"/>
        </w:rPr>
        <w:t xml:space="preserve">Το ΤΕΕ ζητά να ακυρωθούν αποφάσεις με τις οποίες οι δήμαρχοι των περιοχών ζητούν από τις Υπηρεσίες Δόμησης να επιβάλλουν στους μηχανικούς την κατάθεση επιπλέον δικαιολογητικών που δεν προβλέπει ο νόμος και </w:t>
      </w:r>
      <w:proofErr w:type="spellStart"/>
      <w:r w:rsidRPr="00681460">
        <w:rPr>
          <w:rFonts w:eastAsiaTheme="minorHAnsi" w:cs="Arial"/>
          <w:kern w:val="2"/>
          <w:sz w:val="24"/>
          <w:szCs w:val="24"/>
          <w14:ligatures w14:val="standardContextual"/>
        </w:rPr>
        <w:t>εντέλ</w:t>
      </w:r>
      <w:r>
        <w:rPr>
          <w:rFonts w:eastAsiaTheme="minorHAnsi" w:cs="Arial"/>
          <w:kern w:val="2"/>
          <w:sz w:val="24"/>
          <w:szCs w:val="24"/>
          <w14:ligatures w14:val="standardContextual"/>
        </w:rPr>
        <w:t>λ</w:t>
      </w:r>
      <w:r w:rsidRPr="00681460">
        <w:rPr>
          <w:rFonts w:eastAsiaTheme="minorHAnsi" w:cs="Arial"/>
          <w:kern w:val="2"/>
          <w:sz w:val="24"/>
          <w:szCs w:val="24"/>
          <w14:ligatures w14:val="standardContextual"/>
        </w:rPr>
        <w:t>ουν</w:t>
      </w:r>
      <w:proofErr w:type="spellEnd"/>
      <w:r w:rsidRPr="00681460">
        <w:rPr>
          <w:rFonts w:eastAsiaTheme="minorHAnsi" w:cs="Arial"/>
          <w:kern w:val="2"/>
          <w:sz w:val="24"/>
          <w:szCs w:val="24"/>
          <w14:ligatures w14:val="standardContextual"/>
        </w:rPr>
        <w:t xml:space="preserve"> τους αρμόδιους υπαλλήλους να μην εκδίδουν άδειες δόμησης που περιλαμβάνουν χρήση των κινήτρων του ΝΟΚ.</w:t>
      </w:r>
    </w:p>
    <w:p w14:paraId="4B55D2D7" w14:textId="77777777" w:rsidR="00681460" w:rsidRPr="00681460" w:rsidRDefault="00681460" w:rsidP="00681460">
      <w:pPr>
        <w:spacing w:after="0" w:line="240" w:lineRule="auto"/>
        <w:jc w:val="both"/>
        <w:rPr>
          <w:rFonts w:eastAsiaTheme="minorHAnsi" w:cs="Arial"/>
          <w:kern w:val="2"/>
          <w:sz w:val="24"/>
          <w:szCs w:val="24"/>
          <w14:ligatures w14:val="standardContextual"/>
        </w:rPr>
      </w:pPr>
    </w:p>
    <w:p w14:paraId="36865A26" w14:textId="0C0743B9" w:rsidR="00681460" w:rsidRPr="00681460" w:rsidRDefault="00681460" w:rsidP="00681460">
      <w:pPr>
        <w:spacing w:after="0" w:line="240" w:lineRule="auto"/>
        <w:jc w:val="both"/>
        <w:rPr>
          <w:rFonts w:eastAsiaTheme="minorHAnsi" w:cs="Arial"/>
          <w:kern w:val="2"/>
          <w:sz w:val="24"/>
          <w:szCs w:val="24"/>
          <w14:ligatures w14:val="standardContextual"/>
        </w:rPr>
      </w:pPr>
      <w:r w:rsidRPr="00681460">
        <w:rPr>
          <w:rFonts w:eastAsiaTheme="minorHAnsi" w:cs="Arial"/>
          <w:kern w:val="2"/>
          <w:sz w:val="24"/>
          <w:szCs w:val="24"/>
          <w14:ligatures w14:val="standardContextual"/>
        </w:rPr>
        <w:t xml:space="preserve">Στο εξώδικο τονίζεται ότι «ουδεμία αρμοδιότητα έχει ο Δήμαρχος, αλλά και εν γένει τα όργανα των Οργανισμών Τοπικής Αυτοδιοίκησης Α’ βαθμού, να εκδίδουν αποφάσεις περί αναστολής των οικοδομικών αδειών στην χωρική αρμοδιότητα του Δήμου τους», επομένως κάθε τέτοια απόφαση αναστολής έχει εκδοθεί από αναρμόδιο όργανο και </w:t>
      </w:r>
      <w:r>
        <w:rPr>
          <w:rFonts w:eastAsiaTheme="minorHAnsi" w:cs="Arial"/>
          <w:kern w:val="2"/>
          <w:sz w:val="24"/>
          <w:szCs w:val="24"/>
          <w14:ligatures w14:val="standardContextual"/>
        </w:rPr>
        <w:t xml:space="preserve">οι </w:t>
      </w:r>
      <w:r w:rsidRPr="00681460">
        <w:rPr>
          <w:rFonts w:eastAsiaTheme="minorHAnsi" w:cs="Arial"/>
          <w:kern w:val="2"/>
          <w:sz w:val="24"/>
          <w:szCs w:val="24"/>
          <w14:ligatures w14:val="standardContextual"/>
        </w:rPr>
        <w:t xml:space="preserve">αποφάσεις </w:t>
      </w:r>
      <w:r>
        <w:rPr>
          <w:rFonts w:eastAsiaTheme="minorHAnsi" w:cs="Arial"/>
          <w:kern w:val="2"/>
          <w:sz w:val="24"/>
          <w:szCs w:val="24"/>
          <w14:ligatures w14:val="standardContextual"/>
        </w:rPr>
        <w:t xml:space="preserve">χαρακτηρίζονται </w:t>
      </w:r>
      <w:r w:rsidRPr="00681460">
        <w:rPr>
          <w:rFonts w:eastAsiaTheme="minorHAnsi" w:cs="Arial"/>
          <w:kern w:val="2"/>
          <w:sz w:val="24"/>
          <w:szCs w:val="24"/>
          <w14:ligatures w14:val="standardContextual"/>
        </w:rPr>
        <w:t>ακυρωτέες ως μη νόμιμες, για λόγους ασφάλειας δικαίου.</w:t>
      </w:r>
    </w:p>
    <w:p w14:paraId="5B3D27B0" w14:textId="77777777" w:rsidR="00681460" w:rsidRPr="00681460" w:rsidRDefault="00681460" w:rsidP="00681460">
      <w:pPr>
        <w:spacing w:after="0" w:line="240" w:lineRule="auto"/>
        <w:jc w:val="both"/>
        <w:rPr>
          <w:rFonts w:eastAsiaTheme="minorHAnsi" w:cs="Arial"/>
          <w:kern w:val="2"/>
          <w:sz w:val="24"/>
          <w:szCs w:val="24"/>
          <w14:ligatures w14:val="standardContextual"/>
        </w:rPr>
      </w:pPr>
    </w:p>
    <w:p w14:paraId="54287A81" w14:textId="77777777" w:rsidR="00681460" w:rsidRPr="00681460" w:rsidRDefault="00681460" w:rsidP="00681460">
      <w:pPr>
        <w:spacing w:after="0" w:line="240" w:lineRule="auto"/>
        <w:jc w:val="both"/>
        <w:rPr>
          <w:rFonts w:eastAsiaTheme="minorHAnsi" w:cs="Arial"/>
          <w:kern w:val="2"/>
          <w:sz w:val="24"/>
          <w:szCs w:val="24"/>
          <w14:ligatures w14:val="standardContextual"/>
        </w:rPr>
      </w:pPr>
      <w:r w:rsidRPr="00681460">
        <w:rPr>
          <w:rFonts w:eastAsiaTheme="minorHAnsi" w:cs="Arial"/>
          <w:kern w:val="2"/>
          <w:sz w:val="24"/>
          <w:szCs w:val="24"/>
          <w14:ligatures w14:val="standardContextual"/>
        </w:rPr>
        <w:t xml:space="preserve">Στο εξώδικο το ΤΕΕ επισημαίνει ότι </w:t>
      </w:r>
      <w:r w:rsidRPr="00681460">
        <w:rPr>
          <w:rFonts w:eastAsiaTheme="minorHAnsi" w:cs="Arial"/>
          <w:b/>
          <w:bCs/>
          <w:kern w:val="2"/>
          <w:sz w:val="24"/>
          <w:szCs w:val="24"/>
          <w14:ligatures w14:val="standardContextual"/>
        </w:rPr>
        <w:t>το ζήτημα της συνταγματικότητας των άρθρων του ΝΟΚ</w:t>
      </w:r>
      <w:r w:rsidRPr="00681460">
        <w:rPr>
          <w:rFonts w:eastAsiaTheme="minorHAnsi" w:cs="Arial"/>
          <w:kern w:val="2"/>
          <w:sz w:val="24"/>
          <w:szCs w:val="24"/>
          <w14:ligatures w14:val="standardContextual"/>
        </w:rPr>
        <w:t xml:space="preserve">, δυνάμει των οποίων χορηγούνται κίνητρα προσαύξησης του επιτρεπόμενου ύψους κτιρίων, </w:t>
      </w:r>
      <w:r w:rsidRPr="00681460">
        <w:rPr>
          <w:rFonts w:eastAsiaTheme="minorHAnsi" w:cs="Arial"/>
          <w:b/>
          <w:bCs/>
          <w:kern w:val="2"/>
          <w:sz w:val="24"/>
          <w:szCs w:val="24"/>
          <w14:ligatures w14:val="standardContextual"/>
        </w:rPr>
        <w:t>έχει παραπεμφθεί</w:t>
      </w:r>
      <w:r w:rsidRPr="00681460">
        <w:rPr>
          <w:rFonts w:eastAsiaTheme="minorHAnsi" w:cs="Arial"/>
          <w:kern w:val="2"/>
          <w:sz w:val="24"/>
          <w:szCs w:val="24"/>
          <w14:ligatures w14:val="standardContextual"/>
        </w:rPr>
        <w:t xml:space="preserve"> (</w:t>
      </w:r>
      <w:proofErr w:type="spellStart"/>
      <w:r w:rsidRPr="00681460">
        <w:rPr>
          <w:rFonts w:eastAsiaTheme="minorHAnsi" w:cs="Arial"/>
          <w:kern w:val="2"/>
          <w:sz w:val="24"/>
          <w:szCs w:val="24"/>
          <w14:ligatures w14:val="standardContextual"/>
        </w:rPr>
        <w:t>αρ.απ</w:t>
      </w:r>
      <w:proofErr w:type="spellEnd"/>
      <w:r w:rsidRPr="00681460">
        <w:rPr>
          <w:rFonts w:eastAsiaTheme="minorHAnsi" w:cs="Arial"/>
          <w:kern w:val="2"/>
          <w:sz w:val="24"/>
          <w:szCs w:val="24"/>
          <w14:ligatures w14:val="standardContextual"/>
        </w:rPr>
        <w:t xml:space="preserve">. 310/2024 του Ε Τμήματος) </w:t>
      </w:r>
      <w:r w:rsidRPr="00681460">
        <w:rPr>
          <w:rFonts w:eastAsiaTheme="minorHAnsi" w:cs="Arial"/>
          <w:b/>
          <w:bCs/>
          <w:kern w:val="2"/>
          <w:sz w:val="24"/>
          <w:szCs w:val="24"/>
          <w14:ligatures w14:val="standardContextual"/>
        </w:rPr>
        <w:t>για κρίση ενώπιον της Ολομέλειας του Συμβουλίου της Επικρατείας, όπου και εκκρεμεί.</w:t>
      </w:r>
      <w:r w:rsidRPr="00681460">
        <w:rPr>
          <w:rFonts w:eastAsiaTheme="minorHAnsi" w:cs="Arial"/>
          <w:kern w:val="2"/>
          <w:sz w:val="24"/>
          <w:szCs w:val="24"/>
          <w14:ligatures w14:val="standardContextual"/>
        </w:rPr>
        <w:t xml:space="preserve"> Το ΤΕΕ τονίζει ότι σε κάθε περίπτωση μόνο τα αρμόδια όργανα της διοίκησης, που σε καμία περίπτωση δεν είναι οι ΟΤΑ, μπορούν να εξετάσουν και να λάβουν τυχόν απαιτούμενα μέτρα, αν απαιτείται, μέχρι την οριστική κρίση του δικαστηρίου.</w:t>
      </w:r>
    </w:p>
    <w:p w14:paraId="2FF09276" w14:textId="77777777" w:rsidR="00681460" w:rsidRPr="00681460" w:rsidRDefault="00681460" w:rsidP="00681460">
      <w:pPr>
        <w:spacing w:after="0" w:line="240" w:lineRule="auto"/>
        <w:jc w:val="both"/>
        <w:rPr>
          <w:rFonts w:eastAsiaTheme="minorHAnsi" w:cs="Arial"/>
          <w:kern w:val="2"/>
          <w:sz w:val="24"/>
          <w:szCs w:val="24"/>
          <w14:ligatures w14:val="standardContextual"/>
        </w:rPr>
      </w:pPr>
    </w:p>
    <w:p w14:paraId="3B2F8C6A" w14:textId="0DBDD72B" w:rsidR="00681460" w:rsidRPr="00681460" w:rsidRDefault="00681460" w:rsidP="00681460">
      <w:pPr>
        <w:spacing w:after="0" w:line="240" w:lineRule="auto"/>
        <w:jc w:val="both"/>
        <w:rPr>
          <w:rFonts w:eastAsiaTheme="minorHAnsi" w:cs="Arial"/>
          <w:kern w:val="2"/>
          <w:sz w:val="24"/>
          <w:szCs w:val="24"/>
          <w14:ligatures w14:val="standardContextual"/>
        </w:rPr>
      </w:pPr>
      <w:r w:rsidRPr="00681460">
        <w:rPr>
          <w:rFonts w:eastAsiaTheme="minorHAnsi" w:cs="Arial"/>
          <w:kern w:val="2"/>
          <w:sz w:val="24"/>
          <w:szCs w:val="24"/>
          <w14:ligatures w14:val="standardContextual"/>
        </w:rPr>
        <w:t>Σχετικά με το θέμα</w:t>
      </w:r>
      <w:r w:rsidR="00537D3E" w:rsidRPr="00537D3E">
        <w:rPr>
          <w:rFonts w:eastAsiaTheme="minorHAnsi" w:cs="Arial"/>
          <w:kern w:val="2"/>
          <w:sz w:val="24"/>
          <w:szCs w:val="24"/>
          <w14:ligatures w14:val="standardContextual"/>
        </w:rPr>
        <w:t>,</w:t>
      </w:r>
      <w:r w:rsidRPr="00681460">
        <w:rPr>
          <w:rFonts w:eastAsiaTheme="minorHAnsi" w:cs="Arial"/>
          <w:kern w:val="2"/>
          <w:sz w:val="24"/>
          <w:szCs w:val="24"/>
          <w14:ligatures w14:val="standardContextual"/>
        </w:rPr>
        <w:t xml:space="preserve"> </w:t>
      </w:r>
      <w:r w:rsidRPr="00537D3E">
        <w:rPr>
          <w:rFonts w:eastAsiaTheme="minorHAnsi" w:cs="Arial"/>
          <w:b/>
          <w:bCs/>
          <w:kern w:val="2"/>
          <w:sz w:val="24"/>
          <w:szCs w:val="24"/>
          <w14:ligatures w14:val="standardContextual"/>
        </w:rPr>
        <w:t>ο Πρόεδρος του ΤΕΕ Γιώργος Στασινός</w:t>
      </w:r>
      <w:r w:rsidRPr="00681460">
        <w:rPr>
          <w:rFonts w:eastAsiaTheme="minorHAnsi" w:cs="Arial"/>
          <w:kern w:val="2"/>
          <w:sz w:val="24"/>
          <w:szCs w:val="24"/>
          <w14:ligatures w14:val="standardContextual"/>
        </w:rPr>
        <w:t xml:space="preserve"> δήλωσε:</w:t>
      </w:r>
    </w:p>
    <w:p w14:paraId="2A2A864A" w14:textId="77777777" w:rsidR="00681460" w:rsidRPr="00681460" w:rsidRDefault="00681460" w:rsidP="00681460">
      <w:pPr>
        <w:spacing w:after="0" w:line="240" w:lineRule="auto"/>
        <w:jc w:val="both"/>
        <w:rPr>
          <w:rFonts w:eastAsiaTheme="minorHAnsi" w:cs="Arial"/>
          <w:kern w:val="2"/>
          <w:sz w:val="24"/>
          <w:szCs w:val="24"/>
          <w14:ligatures w14:val="standardContextual"/>
        </w:rPr>
      </w:pPr>
      <w:r w:rsidRPr="00681460">
        <w:rPr>
          <w:rFonts w:eastAsiaTheme="minorHAnsi" w:cs="Arial"/>
          <w:kern w:val="2"/>
          <w:sz w:val="24"/>
          <w:szCs w:val="24"/>
          <w14:ligatures w14:val="standardContextual"/>
        </w:rPr>
        <w:t xml:space="preserve">«Αναλύσαμε δημόσια γιατί είναι χρήσιμα, κρίσιμα και απαραίτητα τα κίνητρα του Νέου Οικοδομικού Κανονισμού για περισσότερο κλιματικά ανθεκτικά κτίρια, με αύξηση συντελεστή </w:t>
      </w:r>
      <w:r w:rsidRPr="00681460">
        <w:rPr>
          <w:rFonts w:eastAsiaTheme="minorHAnsi" w:cs="Arial"/>
          <w:kern w:val="2"/>
          <w:sz w:val="24"/>
          <w:szCs w:val="24"/>
          <w14:ligatures w14:val="standardContextual"/>
        </w:rPr>
        <w:lastRenderedPageBreak/>
        <w:t xml:space="preserve">δόμησης και ύψους. Επαναλαμβάνω: τα κίνητρα του Νέου Οικοδομικού Κανονισμού για μείωση της κάλυψης στα νέα κτίρια, την αύξηση της ενεργειακής αποδοτικότητας και τη βελτίωση του αστικού περιβάλλοντος </w:t>
      </w:r>
      <w:r w:rsidRPr="00681460">
        <w:rPr>
          <w:rFonts w:eastAsiaTheme="minorHAnsi" w:cs="Arial"/>
          <w:b/>
          <w:bCs/>
          <w:kern w:val="2"/>
          <w:sz w:val="24"/>
          <w:szCs w:val="24"/>
          <w14:ligatures w14:val="standardContextual"/>
        </w:rPr>
        <w:t>είναι σύμφωνα με τις βέλτιστες διαθέσιμες πρακτικές σε διεθνές επίπεδο, απολύτως απαραίτητα για να συμβάλλουν στην επίτευξη των κλιματικών στόχων της χώρας και αναγκαία για μια καλύτερη ποιότητα ζωής των πολιτών σε ανθεκτικές πόλεις.</w:t>
      </w:r>
      <w:r w:rsidRPr="00681460">
        <w:rPr>
          <w:rFonts w:eastAsiaTheme="minorHAnsi" w:cs="Arial"/>
          <w:kern w:val="2"/>
          <w:sz w:val="24"/>
          <w:szCs w:val="24"/>
          <w14:ligatures w14:val="standardContextual"/>
        </w:rPr>
        <w:t xml:space="preserve"> Κάθε συζήτηση για περιορισμό ή κατάργησή τους υποθηκεύει το μέλλον της χώρας και των παιδιών μας και βλάπτει τις ζωές των πολιτών και το περιβάλλον. Είναι μάλιστα εξόχως αντιεπιστημονικό και βαθιά συντηρητικό να υποστηρίζεται ότι δήθεν υποβαθμίζεται η ζωή των πολιτών ή το αστικό περιβάλλον από τυχόν αύξηση του ύψους των κτιρίων, χωρίς μάλιστα να εξετάζονται καθόλου τα οφέλη από τα κίνητρα.</w:t>
      </w:r>
    </w:p>
    <w:p w14:paraId="3C6E9F2C" w14:textId="02CE5FF1" w:rsidR="00681460" w:rsidRPr="00681460" w:rsidRDefault="00681460" w:rsidP="00681460">
      <w:pPr>
        <w:spacing w:after="0" w:line="240" w:lineRule="auto"/>
        <w:jc w:val="both"/>
        <w:rPr>
          <w:rFonts w:eastAsiaTheme="minorHAnsi" w:cs="Arial"/>
          <w:kern w:val="2"/>
          <w:sz w:val="24"/>
          <w:szCs w:val="24"/>
          <w14:ligatures w14:val="standardContextual"/>
        </w:rPr>
      </w:pPr>
      <w:r w:rsidRPr="00681460">
        <w:rPr>
          <w:rFonts w:eastAsiaTheme="minorHAnsi" w:cs="Arial"/>
          <w:kern w:val="2"/>
          <w:sz w:val="24"/>
          <w:szCs w:val="24"/>
          <w14:ligatures w14:val="standardContextual"/>
        </w:rPr>
        <w:t xml:space="preserve">Το ΤΕΕ είναι θεσμοθετημένος Τεχνικός Σύμβουλος της Πολιτείας και οφείλει να ενημερώνει για σύνθετα τεχνικά ζητήματα. </w:t>
      </w:r>
      <w:r w:rsidRPr="00681460">
        <w:rPr>
          <w:rFonts w:eastAsiaTheme="minorHAnsi" w:cs="Arial"/>
          <w:b/>
          <w:bCs/>
          <w:kern w:val="2"/>
          <w:sz w:val="24"/>
          <w:szCs w:val="24"/>
          <w14:ligatures w14:val="standardContextual"/>
        </w:rPr>
        <w:t xml:space="preserve">Για το ζήτημα του ΝΟΚ ζητήσαμε, επιπλέον, το αυτονόητο: να εφαρμόζεται ο νόμος. </w:t>
      </w:r>
      <w:r w:rsidRPr="00681460">
        <w:rPr>
          <w:rFonts w:eastAsiaTheme="minorHAnsi" w:cs="Arial"/>
          <w:kern w:val="2"/>
          <w:sz w:val="24"/>
          <w:szCs w:val="24"/>
          <w14:ligatures w14:val="standardContextual"/>
        </w:rPr>
        <w:t xml:space="preserve">Δεν είδαμε ανταπόκριση από τους Δήμους που ξεκίνησαν αυτήν την πρωτοφανή ιστορία με τις παράνομες αναστολές έκδοσης οικοδομικών αδειών. Οφείλουμε να προασπίσουμε την επαγγελματική και επιστημονική εργασία των διπλωματούχων μηχανικών. </w:t>
      </w:r>
      <w:r w:rsidRPr="00681460">
        <w:rPr>
          <w:rFonts w:eastAsiaTheme="minorHAnsi" w:cs="Arial"/>
          <w:b/>
          <w:bCs/>
          <w:kern w:val="2"/>
          <w:sz w:val="24"/>
          <w:szCs w:val="24"/>
          <w14:ligatures w14:val="standardContextual"/>
        </w:rPr>
        <w:t>Ζητάμε σήμερα και με εξώδικο επαναφορά στη νομιμότητα</w:t>
      </w:r>
      <w:r w:rsidRPr="00681460">
        <w:rPr>
          <w:rFonts w:eastAsiaTheme="minorHAnsi" w:cs="Arial"/>
          <w:kern w:val="2"/>
          <w:sz w:val="24"/>
          <w:szCs w:val="24"/>
          <w14:ligatures w14:val="standardContextual"/>
        </w:rPr>
        <w:t xml:space="preserve">. Ο κάδε δήμος δεν είναι κάποιο ανεξάρτητο κρατίδιο ώστε άλλα να ισχύουν σε κάποιες </w:t>
      </w:r>
      <w:r w:rsidR="00537D3E">
        <w:rPr>
          <w:rFonts w:eastAsiaTheme="minorHAnsi" w:cs="Arial"/>
          <w:kern w:val="2"/>
          <w:sz w:val="24"/>
          <w:szCs w:val="24"/>
          <w14:ligatures w14:val="standardContextual"/>
        </w:rPr>
        <w:t xml:space="preserve">δήθεν </w:t>
      </w:r>
      <w:r w:rsidRPr="00681460">
        <w:rPr>
          <w:rFonts w:eastAsiaTheme="minorHAnsi" w:cs="Arial"/>
          <w:kern w:val="2"/>
          <w:sz w:val="24"/>
          <w:szCs w:val="24"/>
          <w14:ligatures w14:val="standardContextual"/>
        </w:rPr>
        <w:t>προνομιούχες περιοχές και άλλα στην υπόλοιπη χώρα.</w:t>
      </w:r>
    </w:p>
    <w:p w14:paraId="7ADD301A" w14:textId="77777777" w:rsidR="00681460" w:rsidRPr="00681460" w:rsidRDefault="00681460" w:rsidP="00681460">
      <w:pPr>
        <w:spacing w:after="0" w:line="240" w:lineRule="auto"/>
        <w:jc w:val="both"/>
        <w:rPr>
          <w:rFonts w:eastAsiaTheme="minorHAnsi" w:cs="Arial"/>
          <w:kern w:val="2"/>
          <w:sz w:val="24"/>
          <w:szCs w:val="24"/>
          <w14:ligatures w14:val="standardContextual"/>
        </w:rPr>
      </w:pPr>
      <w:r w:rsidRPr="00681460">
        <w:rPr>
          <w:rFonts w:eastAsiaTheme="minorHAnsi" w:cs="Arial"/>
          <w:kern w:val="2"/>
          <w:sz w:val="24"/>
          <w:szCs w:val="24"/>
          <w14:ligatures w14:val="standardContextual"/>
        </w:rPr>
        <w:t xml:space="preserve">Ο ΝΟΚ είναι σημαντικός γιατί, ουσιαστικά, βάζει σημαντικά περιβαλλοντικά κίνητρα τα οποία είναι απαραίτητα για τη ζωή των πολιτών σήμερα αλλά σίγουρα και για τις επόμενες γενιές. Επομένως θα πρέπει να υποστηριχθεί και να διατηρηθεί και να συνεχίσουν να υπάρχουν τα περιβαλλοντικά κίνητρα ή ακόμη και να αυξηθούν μελλοντικά. </w:t>
      </w:r>
    </w:p>
    <w:p w14:paraId="027AD533" w14:textId="128B3C7A" w:rsidR="00A241C5" w:rsidRPr="00681460" w:rsidRDefault="00681460" w:rsidP="00681460">
      <w:pPr>
        <w:spacing w:after="0" w:line="240" w:lineRule="auto"/>
        <w:jc w:val="both"/>
        <w:rPr>
          <w:rFonts w:cs="Arial"/>
          <w:sz w:val="24"/>
          <w:szCs w:val="24"/>
        </w:rPr>
      </w:pPr>
      <w:r w:rsidRPr="00681460">
        <w:rPr>
          <w:rFonts w:eastAsiaTheme="minorHAnsi" w:cs="Arial"/>
          <w:kern w:val="2"/>
          <w:sz w:val="24"/>
          <w:szCs w:val="24"/>
          <w14:ligatures w14:val="standardContextual"/>
        </w:rPr>
        <w:t xml:space="preserve">Από εκεί και πέρα, για όποιες τυχόν μεμονωμένες περιπτώσεις παρατηρούνται υπερβολές, όσον αφορά συγκεκριμένα ζητήματα συνδυασμού διατάξεων που δεν ήταν στην πρόθεση του νομοθέτη και σωρευτικής εφαρμογής στο πολεοδομικό μέγεθος του ύψους – και μόνο, η κυβέρνηση πρέπει να παρέμβει και να ξεκαθαρίσει το τοπίο. Μόνο για τις υπερβολές όμως, για μεμονωμένες περιπτώσεις, καθώς μόνο τέτοιες υπάρχουν, που οδηγούν σε πολύ υψηλότερα κτίρια από αυτά που συνήθως κατασκευάζονται ακόμα και σήμερα με τον ΝΟΚ. Και σίγουρα όχι για τα πράσινα κίνητρα της αύξησης συντελεστή δόμησης. Και για να το ξεκαθαρίζουμε: </w:t>
      </w:r>
      <w:r w:rsidRPr="00681460">
        <w:rPr>
          <w:rFonts w:eastAsiaTheme="minorHAnsi" w:cs="Arial"/>
          <w:b/>
          <w:bCs/>
          <w:kern w:val="2"/>
          <w:sz w:val="24"/>
          <w:szCs w:val="24"/>
          <w14:ligatures w14:val="standardContextual"/>
        </w:rPr>
        <w:t>οι δήμοι που φωνάζουν τώρα</w:t>
      </w:r>
      <w:r w:rsidRPr="00681460">
        <w:rPr>
          <w:rFonts w:eastAsiaTheme="minorHAnsi" w:cs="Arial"/>
          <w:kern w:val="2"/>
          <w:sz w:val="24"/>
          <w:szCs w:val="24"/>
          <w14:ligatures w14:val="standardContextual"/>
        </w:rPr>
        <w:t xml:space="preserve"> δεν αντιδρούν για αυτές τις περιπτώσεις, αντίθετα </w:t>
      </w:r>
      <w:r w:rsidRPr="00681460">
        <w:rPr>
          <w:rFonts w:eastAsiaTheme="minorHAnsi" w:cs="Arial"/>
          <w:b/>
          <w:bCs/>
          <w:kern w:val="2"/>
          <w:sz w:val="24"/>
          <w:szCs w:val="24"/>
          <w14:ligatures w14:val="standardContextual"/>
        </w:rPr>
        <w:t>επιδιώκουν την πλήρη αναστολή κάθε κινήτρου του ΝΟΚ για να διασφαλίσουν τοπικά μικροσυμφέροντα</w:t>
      </w:r>
      <w:r w:rsidRPr="00681460">
        <w:rPr>
          <w:rFonts w:eastAsiaTheme="minorHAnsi" w:cs="Arial"/>
          <w:kern w:val="2"/>
          <w:sz w:val="24"/>
          <w:szCs w:val="24"/>
          <w14:ligatures w14:val="standardContextual"/>
        </w:rPr>
        <w:t>. Αυτές τις αποφάσεις αναστολής έκδοσης οικοδομικών αδειών ζητάμε σήμερα να ακυρωθούν».</w:t>
      </w:r>
    </w:p>
    <w:p w14:paraId="134EABEE" w14:textId="77777777" w:rsidR="009852F6" w:rsidRPr="00681460" w:rsidRDefault="009852F6" w:rsidP="00416495">
      <w:pPr>
        <w:spacing w:after="0" w:line="240" w:lineRule="auto"/>
        <w:jc w:val="both"/>
        <w:rPr>
          <w:rFonts w:cs="Arial"/>
          <w:sz w:val="24"/>
          <w:szCs w:val="24"/>
        </w:rPr>
      </w:pPr>
    </w:p>
    <w:p w14:paraId="3304411E" w14:textId="77777777" w:rsidR="009852F6" w:rsidRPr="00681460" w:rsidRDefault="009852F6" w:rsidP="009852F6">
      <w:pPr>
        <w:spacing w:after="0" w:line="240" w:lineRule="auto"/>
        <w:jc w:val="both"/>
        <w:rPr>
          <w:rFonts w:cs="Arial"/>
          <w:sz w:val="24"/>
          <w:szCs w:val="24"/>
        </w:rPr>
      </w:pPr>
    </w:p>
    <w:p w14:paraId="32CB6EF6" w14:textId="77777777" w:rsidR="000F6003" w:rsidRDefault="000F6003" w:rsidP="00060532">
      <w:pPr>
        <w:shd w:val="clear" w:color="auto" w:fill="FFFFFF"/>
        <w:spacing w:after="0" w:line="240" w:lineRule="auto"/>
        <w:jc w:val="center"/>
        <w:rPr>
          <w:rFonts w:cs="Arial"/>
          <w:sz w:val="24"/>
          <w:szCs w:val="24"/>
        </w:rPr>
      </w:pPr>
      <w:r>
        <w:rPr>
          <w:rFonts w:cs="Arial"/>
          <w:noProof/>
          <w:sz w:val="24"/>
          <w:szCs w:val="24"/>
          <w:lang w:eastAsia="el-GR"/>
        </w:rPr>
        <w:drawing>
          <wp:inline distT="0" distB="0" distL="0" distR="0" wp14:anchorId="3231A783" wp14:editId="3CA29384">
            <wp:extent cx="6169160" cy="1803400"/>
            <wp:effectExtent l="0" t="0" r="3175" b="6350"/>
            <wp:docPr id="7188460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846041" name="Picture 71884604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75793" cy="1805339"/>
                    </a:xfrm>
                    <a:prstGeom prst="rect">
                      <a:avLst/>
                    </a:prstGeom>
                  </pic:spPr>
                </pic:pic>
              </a:graphicData>
            </a:graphic>
          </wp:inline>
        </w:drawing>
      </w:r>
    </w:p>
    <w:p w14:paraId="416CB380" w14:textId="77777777" w:rsidR="00FD0219" w:rsidRDefault="00FD0219" w:rsidP="00060532">
      <w:pPr>
        <w:shd w:val="clear" w:color="auto" w:fill="FFFFFF"/>
        <w:spacing w:after="0" w:line="240" w:lineRule="auto"/>
        <w:jc w:val="center"/>
        <w:rPr>
          <w:rFonts w:cs="Arial"/>
          <w:b/>
          <w:bCs/>
          <w:i/>
          <w:iCs/>
          <w:sz w:val="16"/>
          <w:szCs w:val="16"/>
        </w:rPr>
      </w:pPr>
    </w:p>
    <w:sectPr w:rsidR="00FD0219" w:rsidSect="00C2482C">
      <w:footerReference w:type="default" r:id="rId10"/>
      <w:pgSz w:w="11906" w:h="16838"/>
      <w:pgMar w:top="794" w:right="1134"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FBA81" w14:textId="77777777" w:rsidR="00C2482C" w:rsidRDefault="00C2482C" w:rsidP="007D39CD">
      <w:pPr>
        <w:spacing w:after="0" w:line="240" w:lineRule="auto"/>
      </w:pPr>
      <w:r>
        <w:separator/>
      </w:r>
    </w:p>
  </w:endnote>
  <w:endnote w:type="continuationSeparator" w:id="0">
    <w:p w14:paraId="46BEF19A" w14:textId="77777777" w:rsidR="00C2482C" w:rsidRDefault="00C2482C" w:rsidP="007D3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649E" w14:textId="77777777" w:rsidR="00247068" w:rsidRPr="00C47209" w:rsidRDefault="00247068" w:rsidP="00247068">
    <w:pPr>
      <w:pStyle w:val="Footer"/>
      <w:pBdr>
        <w:top w:val="thickThinSmallGap" w:sz="24" w:space="1" w:color="2F5496"/>
      </w:pBdr>
      <w:rPr>
        <w:rFonts w:ascii="Cambria" w:hAnsi="Cambria"/>
        <w:lang w:val="pt-PT"/>
      </w:rPr>
    </w:pPr>
    <w:r w:rsidRPr="00C24DED">
      <w:rPr>
        <w:b/>
        <w:i/>
      </w:rPr>
      <w:t xml:space="preserve">ΓΡΑΦΕΙΟ ΤΥΠΟΥ – </w:t>
    </w:r>
    <w:r>
      <w:rPr>
        <w:b/>
        <w:i/>
      </w:rPr>
      <w:t>Νίκης</w:t>
    </w:r>
    <w:r w:rsidRPr="00C24DED">
      <w:rPr>
        <w:b/>
        <w:i/>
      </w:rPr>
      <w:t xml:space="preserve"> 4 – Αθήνα – </w:t>
    </w:r>
    <w:proofErr w:type="spellStart"/>
    <w:r w:rsidRPr="00C24DED">
      <w:rPr>
        <w:b/>
        <w:i/>
      </w:rPr>
      <w:t>Τηλ</w:t>
    </w:r>
    <w:proofErr w:type="spellEnd"/>
    <w:r w:rsidRPr="00C24DED">
      <w:rPr>
        <w:b/>
        <w:i/>
      </w:rPr>
      <w:t>. 210 32.91.</w:t>
    </w:r>
    <w:r w:rsidRPr="00232FA1">
      <w:rPr>
        <w:b/>
        <w:i/>
      </w:rPr>
      <w:t>629</w:t>
    </w:r>
    <w:r w:rsidRPr="00C24DED">
      <w:rPr>
        <w:b/>
        <w:i/>
      </w:rPr>
      <w:t xml:space="preserve"> – </w:t>
    </w:r>
    <w:r w:rsidRPr="00C47209">
      <w:rPr>
        <w:b/>
        <w:i/>
        <w:lang w:val="pt-PT"/>
      </w:rPr>
      <w:t xml:space="preserve"> </w:t>
    </w:r>
    <w:r w:rsidRPr="00C24DED">
      <w:rPr>
        <w:b/>
        <w:i/>
        <w:lang w:val="pt-PT"/>
      </w:rPr>
      <w:t>E</w:t>
    </w:r>
    <w:r w:rsidRPr="00C47209">
      <w:rPr>
        <w:b/>
        <w:i/>
        <w:lang w:val="pt-PT"/>
      </w:rPr>
      <w:t>-</w:t>
    </w:r>
    <w:r w:rsidRPr="00C24DED">
      <w:rPr>
        <w:b/>
        <w:i/>
        <w:lang w:val="pt-PT"/>
      </w:rPr>
      <w:t>mail</w:t>
    </w:r>
    <w:r w:rsidRPr="00C47209">
      <w:rPr>
        <w:b/>
        <w:i/>
        <w:lang w:val="pt-PT"/>
      </w:rPr>
      <w:t xml:space="preserve">: </w:t>
    </w:r>
    <w:hyperlink r:id="rId1" w:history="1">
      <w:r w:rsidRPr="00461889">
        <w:rPr>
          <w:rStyle w:val="Hyperlink"/>
          <w:b/>
          <w:i/>
          <w:lang w:val="pt-PT"/>
        </w:rPr>
        <w:t>press@central.tee.gr</w:t>
      </w:r>
    </w:hyperlink>
    <w:r>
      <w:rPr>
        <w:b/>
        <w:i/>
      </w:rPr>
      <w:tab/>
    </w:r>
    <w:r w:rsidR="00741576">
      <w:fldChar w:fldCharType="begin"/>
    </w:r>
    <w:r w:rsidRPr="00C47209">
      <w:rPr>
        <w:lang w:val="pt-PT"/>
      </w:rPr>
      <w:instrText xml:space="preserve"> PAGE   \* MERGEFORMAT </w:instrText>
    </w:r>
    <w:r w:rsidR="00741576">
      <w:fldChar w:fldCharType="separate"/>
    </w:r>
    <w:r w:rsidR="00B866C9" w:rsidRPr="00B866C9">
      <w:rPr>
        <w:noProof/>
      </w:rPr>
      <w:t>1</w:t>
    </w:r>
    <w:r w:rsidR="00741576">
      <w:fldChar w:fldCharType="end"/>
    </w:r>
  </w:p>
  <w:p w14:paraId="1E2CF338" w14:textId="77777777" w:rsidR="00247068" w:rsidRPr="00247068" w:rsidRDefault="00247068">
    <w:pPr>
      <w:pStyle w:val="Footer"/>
      <w:rPr>
        <w:lang w:val="pt-PT"/>
      </w:rPr>
    </w:pPr>
  </w:p>
  <w:p w14:paraId="3D7B5B86" w14:textId="77777777" w:rsidR="00247068" w:rsidRDefault="00247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F169C" w14:textId="77777777" w:rsidR="00C2482C" w:rsidRDefault="00C2482C" w:rsidP="007D39CD">
      <w:pPr>
        <w:spacing w:after="0" w:line="240" w:lineRule="auto"/>
      </w:pPr>
      <w:r>
        <w:separator/>
      </w:r>
    </w:p>
  </w:footnote>
  <w:footnote w:type="continuationSeparator" w:id="0">
    <w:p w14:paraId="5086F80D" w14:textId="77777777" w:rsidR="00C2482C" w:rsidRDefault="00C2482C" w:rsidP="007D3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E1809"/>
    <w:multiLevelType w:val="hybridMultilevel"/>
    <w:tmpl w:val="62EEA800"/>
    <w:lvl w:ilvl="0" w:tplc="52E48F34">
      <w:start w:val="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9F5504"/>
    <w:multiLevelType w:val="hybridMultilevel"/>
    <w:tmpl w:val="AA0E5960"/>
    <w:lvl w:ilvl="0" w:tplc="A3FA3F96">
      <w:start w:val="8"/>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6353727">
    <w:abstractNumId w:val="0"/>
  </w:num>
  <w:num w:numId="2" w16cid:durableId="781806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FFB"/>
    <w:rsid w:val="00060532"/>
    <w:rsid w:val="00083DED"/>
    <w:rsid w:val="000A0401"/>
    <w:rsid w:val="000B3377"/>
    <w:rsid w:val="000F6003"/>
    <w:rsid w:val="00145EDB"/>
    <w:rsid w:val="00172AD5"/>
    <w:rsid w:val="001C1274"/>
    <w:rsid w:val="001D790A"/>
    <w:rsid w:val="001F5A24"/>
    <w:rsid w:val="0020695A"/>
    <w:rsid w:val="00221580"/>
    <w:rsid w:val="00247068"/>
    <w:rsid w:val="00353CB0"/>
    <w:rsid w:val="00377AE0"/>
    <w:rsid w:val="003F0338"/>
    <w:rsid w:val="003F43FE"/>
    <w:rsid w:val="00416495"/>
    <w:rsid w:val="00446517"/>
    <w:rsid w:val="00470B93"/>
    <w:rsid w:val="004B31E6"/>
    <w:rsid w:val="004E1256"/>
    <w:rsid w:val="004F3F29"/>
    <w:rsid w:val="00537D3E"/>
    <w:rsid w:val="00550975"/>
    <w:rsid w:val="00565AB6"/>
    <w:rsid w:val="005901B7"/>
    <w:rsid w:val="006350A4"/>
    <w:rsid w:val="00681460"/>
    <w:rsid w:val="006926D8"/>
    <w:rsid w:val="006B24E6"/>
    <w:rsid w:val="006E087D"/>
    <w:rsid w:val="00702F56"/>
    <w:rsid w:val="00730F83"/>
    <w:rsid w:val="007337EC"/>
    <w:rsid w:val="007358DB"/>
    <w:rsid w:val="00741576"/>
    <w:rsid w:val="00756D99"/>
    <w:rsid w:val="00757D30"/>
    <w:rsid w:val="007710A8"/>
    <w:rsid w:val="007D39CD"/>
    <w:rsid w:val="007E618D"/>
    <w:rsid w:val="008667EB"/>
    <w:rsid w:val="00875881"/>
    <w:rsid w:val="00895A43"/>
    <w:rsid w:val="008C4A6E"/>
    <w:rsid w:val="008F46F1"/>
    <w:rsid w:val="00971EEC"/>
    <w:rsid w:val="009852F6"/>
    <w:rsid w:val="009A3B8A"/>
    <w:rsid w:val="009B40B3"/>
    <w:rsid w:val="009F3A2B"/>
    <w:rsid w:val="00A20DA9"/>
    <w:rsid w:val="00A241C5"/>
    <w:rsid w:val="00A41B6E"/>
    <w:rsid w:val="00A56097"/>
    <w:rsid w:val="00A73B81"/>
    <w:rsid w:val="00AC2A55"/>
    <w:rsid w:val="00AD030D"/>
    <w:rsid w:val="00B15CB1"/>
    <w:rsid w:val="00B866C9"/>
    <w:rsid w:val="00B938FC"/>
    <w:rsid w:val="00BD368A"/>
    <w:rsid w:val="00C047CE"/>
    <w:rsid w:val="00C12F1F"/>
    <w:rsid w:val="00C2482C"/>
    <w:rsid w:val="00C3683D"/>
    <w:rsid w:val="00C4154A"/>
    <w:rsid w:val="00C47E58"/>
    <w:rsid w:val="00C70706"/>
    <w:rsid w:val="00C91725"/>
    <w:rsid w:val="00CB35F9"/>
    <w:rsid w:val="00CE26B3"/>
    <w:rsid w:val="00CE3F11"/>
    <w:rsid w:val="00CE57F7"/>
    <w:rsid w:val="00D14D4B"/>
    <w:rsid w:val="00E221FF"/>
    <w:rsid w:val="00E34302"/>
    <w:rsid w:val="00E94AD2"/>
    <w:rsid w:val="00EE571B"/>
    <w:rsid w:val="00EE7D65"/>
    <w:rsid w:val="00F63FFB"/>
    <w:rsid w:val="00F87654"/>
    <w:rsid w:val="00FA0040"/>
    <w:rsid w:val="00FD0219"/>
    <w:rsid w:val="00FF45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00A05"/>
  <w15:docId w15:val="{C17C94D2-4D52-423D-B045-05B655C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FFB"/>
    <w:pPr>
      <w:spacing w:after="80" w:line="336" w:lineRule="auto"/>
    </w:pPr>
    <w:rPr>
      <w:rFonts w:ascii="Arial" w:eastAsia="Times New Roman" w:hAnsi="Arial" w:cs="Times New Roman"/>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D39CD"/>
    <w:pPr>
      <w:spacing w:after="0" w:line="240" w:lineRule="auto"/>
    </w:pPr>
  </w:style>
  <w:style w:type="character" w:customStyle="1" w:styleId="FootnoteTextChar">
    <w:name w:val="Footnote Text Char"/>
    <w:basedOn w:val="DefaultParagraphFont"/>
    <w:link w:val="FootnoteText"/>
    <w:uiPriority w:val="99"/>
    <w:semiHidden/>
    <w:rsid w:val="007D39CD"/>
    <w:rPr>
      <w:rFonts w:ascii="Arial" w:eastAsia="Times New Roman" w:hAnsi="Arial" w:cs="Times New Roman"/>
      <w:kern w:val="0"/>
      <w:sz w:val="20"/>
      <w:szCs w:val="20"/>
    </w:rPr>
  </w:style>
  <w:style w:type="character" w:styleId="FootnoteReference">
    <w:name w:val="footnote reference"/>
    <w:basedOn w:val="DefaultParagraphFont"/>
    <w:uiPriority w:val="99"/>
    <w:semiHidden/>
    <w:unhideWhenUsed/>
    <w:rsid w:val="007D39CD"/>
    <w:rPr>
      <w:vertAlign w:val="superscript"/>
    </w:rPr>
  </w:style>
  <w:style w:type="paragraph" w:styleId="Header">
    <w:name w:val="header"/>
    <w:basedOn w:val="Normal"/>
    <w:link w:val="HeaderChar"/>
    <w:uiPriority w:val="99"/>
    <w:unhideWhenUsed/>
    <w:rsid w:val="002470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068"/>
    <w:rPr>
      <w:rFonts w:ascii="Arial" w:eastAsia="Times New Roman" w:hAnsi="Arial" w:cs="Times New Roman"/>
      <w:kern w:val="0"/>
      <w:sz w:val="20"/>
      <w:szCs w:val="20"/>
    </w:rPr>
  </w:style>
  <w:style w:type="paragraph" w:styleId="Footer">
    <w:name w:val="footer"/>
    <w:basedOn w:val="Normal"/>
    <w:link w:val="FooterChar"/>
    <w:uiPriority w:val="99"/>
    <w:unhideWhenUsed/>
    <w:rsid w:val="002470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068"/>
    <w:rPr>
      <w:rFonts w:ascii="Arial" w:eastAsia="Times New Roman" w:hAnsi="Arial" w:cs="Times New Roman"/>
      <w:kern w:val="0"/>
      <w:sz w:val="20"/>
      <w:szCs w:val="20"/>
    </w:rPr>
  </w:style>
  <w:style w:type="character" w:styleId="Hyperlink">
    <w:name w:val="Hyperlink"/>
    <w:rsid w:val="00247068"/>
    <w:rPr>
      <w:color w:val="0000FF"/>
      <w:u w:val="single"/>
    </w:rPr>
  </w:style>
  <w:style w:type="paragraph" w:styleId="BalloonText">
    <w:name w:val="Balloon Text"/>
    <w:basedOn w:val="Normal"/>
    <w:link w:val="BalloonTextChar"/>
    <w:uiPriority w:val="99"/>
    <w:semiHidden/>
    <w:unhideWhenUsed/>
    <w:rsid w:val="00B86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6C9"/>
    <w:rPr>
      <w:rFonts w:ascii="Tahoma" w:eastAsia="Times New Roman" w:hAnsi="Tahoma" w:cs="Tahoma"/>
      <w:kern w:val="0"/>
      <w:sz w:val="16"/>
      <w:szCs w:val="16"/>
    </w:rPr>
  </w:style>
  <w:style w:type="paragraph" w:styleId="ListParagraph">
    <w:name w:val="List Paragraph"/>
    <w:basedOn w:val="Normal"/>
    <w:uiPriority w:val="34"/>
    <w:qFormat/>
    <w:rsid w:val="009852F6"/>
    <w:pPr>
      <w:spacing w:after="200"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416495"/>
    <w:rPr>
      <w:color w:val="605E5C"/>
      <w:shd w:val="clear" w:color="auto" w:fill="E1DFDD"/>
    </w:rPr>
  </w:style>
  <w:style w:type="character" w:styleId="Emphasis">
    <w:name w:val="Emphasis"/>
    <w:basedOn w:val="DefaultParagraphFont"/>
    <w:uiPriority w:val="20"/>
    <w:qFormat/>
    <w:rsid w:val="00A241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press@central.te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90CE4-174D-47D6-8B24-DC5F41225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Nikolakopoulou</dc:creator>
  <cp:lastModifiedBy>THEOKAR</cp:lastModifiedBy>
  <cp:revision>4</cp:revision>
  <dcterms:created xsi:type="dcterms:W3CDTF">2024-04-12T05:49:00Z</dcterms:created>
  <dcterms:modified xsi:type="dcterms:W3CDTF">2024-04-12T07:04:00Z</dcterms:modified>
</cp:coreProperties>
</file>