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E4C6" w14:textId="2AC0A853" w:rsidR="00515574" w:rsidRPr="00ED32D0" w:rsidRDefault="00604AA4" w:rsidP="00604AA4">
      <w:pPr>
        <w:spacing w:after="0" w:line="240" w:lineRule="auto"/>
        <w:ind w:firstLine="720"/>
        <w:rPr>
          <w:rFonts w:cs="Arial"/>
          <w:noProof/>
          <w:sz w:val="96"/>
        </w:rPr>
      </w:pPr>
      <w:r>
        <w:rPr>
          <w:noProof/>
          <w:lang w:eastAsia="el-GR"/>
        </w:rPr>
        <w:drawing>
          <wp:anchor distT="0" distB="0" distL="114300" distR="114300" simplePos="0" relativeHeight="251659776" behindDoc="0" locked="0" layoutInCell="1" allowOverlap="1" wp14:anchorId="3F5C4044" wp14:editId="55DB391B">
            <wp:simplePos x="0" y="0"/>
            <wp:positionH relativeFrom="column">
              <wp:posOffset>-317500</wp:posOffset>
            </wp:positionH>
            <wp:positionV relativeFrom="paragraph">
              <wp:posOffset>759460</wp:posOffset>
            </wp:positionV>
            <wp:extent cx="3048000" cy="946150"/>
            <wp:effectExtent l="0" t="0" r="0" b="0"/>
            <wp:wrapNone/>
            <wp:docPr id="1090418945" name="Picture 1" descr="LOGO H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 H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946150"/>
                    </a:xfrm>
                    <a:prstGeom prst="rect">
                      <a:avLst/>
                    </a:prstGeom>
                    <a:noFill/>
                    <a:ln>
                      <a:noFill/>
                    </a:ln>
                  </pic:spPr>
                </pic:pic>
              </a:graphicData>
            </a:graphic>
          </wp:anchor>
        </w:drawing>
      </w:r>
      <w:r w:rsidR="001C7FBF">
        <w:rPr>
          <w:noProof/>
          <w:lang w:eastAsia="el-GR"/>
        </w:rPr>
        <mc:AlternateContent>
          <mc:Choice Requires="wps">
            <w:drawing>
              <wp:anchor distT="0" distB="0" distL="114300" distR="114300" simplePos="0" relativeHeight="251657728" behindDoc="1" locked="0" layoutInCell="0" allowOverlap="1" wp14:anchorId="7F9527E8" wp14:editId="0CE4D59E">
                <wp:simplePos x="0" y="0"/>
                <wp:positionH relativeFrom="column">
                  <wp:posOffset>-45085</wp:posOffset>
                </wp:positionH>
                <wp:positionV relativeFrom="paragraph">
                  <wp:posOffset>274320</wp:posOffset>
                </wp:positionV>
                <wp:extent cx="5368290" cy="366395"/>
                <wp:effectExtent l="0" t="0" r="3810" b="190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8290" cy="366395"/>
                        </a:xfrm>
                        <a:prstGeom prst="rect">
                          <a:avLst/>
                        </a:prstGeom>
                        <a:solidFill>
                          <a:srgbClr val="DFDFDF"/>
                        </a:solidFill>
                        <a:ln w="9525">
                          <a:solidFill>
                            <a:srgbClr val="FFFFFF"/>
                          </a:solidFill>
                          <a:miter lim="800000"/>
                          <a:headEnd/>
                          <a:tailEnd/>
                        </a:ln>
                        <a:effectLst/>
                      </wps:spPr>
                      <wps:txbx>
                        <w:txbxContent>
                          <w:p w14:paraId="77EA0288" w14:textId="77777777" w:rsidR="00515574" w:rsidRPr="00AC1B7A" w:rsidRDefault="00395209" w:rsidP="00515574">
                            <w:pPr>
                              <w:jc w:val="right"/>
                              <w:rPr>
                                <w:rFonts w:ascii="Times New Roman" w:hAnsi="Times New Roman"/>
                              </w:rPr>
                            </w:pPr>
                            <w:r>
                              <w:rPr>
                                <w:rFonts w:ascii="Times New Roman" w:hAnsi="Times New Roman"/>
                                <w:b/>
                                <w:sz w:val="48"/>
                              </w:rPr>
                              <w:t>Δελτίο Τύπου</w:t>
                            </w:r>
                            <w:r w:rsidR="00515574" w:rsidRPr="00AC1B7A">
                              <w:rPr>
                                <w:rFonts w:ascii="Times New Roman" w:hAnsi="Times New Roman"/>
                                <w:b/>
                                <w:sz w:val="4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527E8" id="Ορθογώνιο 1" o:spid="_x0000_s1026" style="position:absolute;left:0;text-align:left;margin-left:-3.55pt;margin-top:21.6pt;width:422.7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" o:allowincell="f" fillcolor="#dfdfdf" strokecolor="white">
                <v:path arrowok="t"/>
                <v:textbox inset="1pt,1pt,1pt,1pt">
                  <w:txbxContent>
                    <w:p w14:paraId="77EA0288" w14:textId="77777777" w:rsidR="00515574" w:rsidRPr="00AC1B7A" w:rsidRDefault="00395209" w:rsidP="00515574">
                      <w:pPr>
                        <w:jc w:val="right"/>
                        <w:rPr>
                          <w:rFonts w:ascii="Times New Roman" w:hAnsi="Times New Roman"/>
                        </w:rPr>
                      </w:pPr>
                      <w:r>
                        <w:rPr>
                          <w:rFonts w:ascii="Times New Roman" w:hAnsi="Times New Roman"/>
                          <w:b/>
                          <w:sz w:val="48"/>
                        </w:rPr>
                        <w:t>Δελτίο Τύπου</w:t>
                      </w:r>
                      <w:r w:rsidR="00515574" w:rsidRPr="00AC1B7A">
                        <w:rPr>
                          <w:rFonts w:ascii="Times New Roman" w:hAnsi="Times New Roman"/>
                          <w:b/>
                          <w:sz w:val="48"/>
                        </w:rPr>
                        <w:t xml:space="preserve">  </w:t>
                      </w:r>
                    </w:p>
                  </w:txbxContent>
                </v:textbox>
              </v:rect>
            </w:pict>
          </mc:Fallback>
        </mc:AlternateContent>
      </w:r>
      <w:r w:rsidR="00515574" w:rsidRPr="00ED32D0">
        <w:rPr>
          <w:rFonts w:cs="Arial"/>
          <w:b/>
          <w:bCs/>
          <w:sz w:val="96"/>
          <w:szCs w:val="72"/>
        </w:rPr>
        <w:t>TEE</w:t>
      </w:r>
      <w:r w:rsidR="00515574" w:rsidRPr="00ED32D0">
        <w:rPr>
          <w:rFonts w:cs="Arial"/>
          <w:noProof/>
          <w:sz w:val="96"/>
        </w:rPr>
        <w:tab/>
      </w:r>
    </w:p>
    <w:p w14:paraId="00EF4B3D" w14:textId="20C46E1A" w:rsidR="00515574" w:rsidRPr="00ED32D0" w:rsidRDefault="00515574" w:rsidP="00ED32D0">
      <w:pPr>
        <w:spacing w:line="240" w:lineRule="auto"/>
        <w:ind w:firstLine="720"/>
        <w:rPr>
          <w:rFonts w:cs="Arial"/>
          <w:b/>
          <w:sz w:val="16"/>
        </w:rPr>
      </w:pPr>
      <w:r w:rsidRPr="00ED32D0">
        <w:rPr>
          <w:rFonts w:cs="Arial"/>
          <w:b/>
          <w:sz w:val="16"/>
        </w:rPr>
        <w:t>ΤΕΧΝΙΚΟ ΕΠΙΜΕΛΗΤΗΡΙΟ ΕΛΛΑΔΑΣ</w:t>
      </w:r>
    </w:p>
    <w:p w14:paraId="77260553" w14:textId="61B3385D" w:rsidR="00515574" w:rsidRPr="00ED32D0" w:rsidRDefault="00515574" w:rsidP="00ED32D0">
      <w:pPr>
        <w:spacing w:after="0" w:line="240" w:lineRule="auto"/>
        <w:ind w:firstLine="720"/>
        <w:jc w:val="right"/>
        <w:rPr>
          <w:rFonts w:cs="Arial"/>
          <w:b/>
          <w:sz w:val="24"/>
          <w:szCs w:val="24"/>
        </w:rPr>
      </w:pPr>
    </w:p>
    <w:p w14:paraId="08A73AC4" w14:textId="268FD260" w:rsidR="00A55575" w:rsidRPr="00AD5287" w:rsidRDefault="006669A1" w:rsidP="00ED32D0">
      <w:pPr>
        <w:pStyle w:val="a"/>
        <w:rPr>
          <w:rFonts w:cs="Arial"/>
          <w:sz w:val="22"/>
          <w:szCs w:val="22"/>
          <w:lang w:val="el-GR"/>
        </w:rPr>
      </w:pPr>
      <w:r>
        <w:rPr>
          <w:rFonts w:cs="Arial"/>
          <w:sz w:val="22"/>
          <w:szCs w:val="22"/>
          <w:lang w:val="el-GR"/>
        </w:rPr>
        <w:t>1</w:t>
      </w:r>
      <w:r w:rsidR="00B10028">
        <w:rPr>
          <w:rFonts w:cs="Arial"/>
          <w:sz w:val="22"/>
          <w:szCs w:val="22"/>
          <w:lang w:val="el-GR"/>
        </w:rPr>
        <w:t>3</w:t>
      </w:r>
      <w:r>
        <w:rPr>
          <w:rFonts w:cs="Arial"/>
          <w:sz w:val="22"/>
          <w:szCs w:val="22"/>
          <w:lang w:val="el-GR"/>
        </w:rPr>
        <w:t xml:space="preserve"> </w:t>
      </w:r>
      <w:r w:rsidR="00B10028">
        <w:rPr>
          <w:rFonts w:cs="Arial"/>
          <w:sz w:val="22"/>
          <w:szCs w:val="22"/>
          <w:lang w:val="el-GR"/>
        </w:rPr>
        <w:t>Ιανουαρίου</w:t>
      </w:r>
      <w:r w:rsidR="00DD3354" w:rsidRPr="00AD5287">
        <w:rPr>
          <w:rFonts w:cs="Arial"/>
          <w:sz w:val="22"/>
          <w:szCs w:val="22"/>
          <w:lang w:val="el-GR"/>
        </w:rPr>
        <w:t xml:space="preserve"> </w:t>
      </w:r>
      <w:r w:rsidR="00A55575" w:rsidRPr="00AD5287">
        <w:rPr>
          <w:rFonts w:cs="Arial"/>
          <w:sz w:val="22"/>
          <w:szCs w:val="22"/>
        </w:rPr>
        <w:t>20</w:t>
      </w:r>
      <w:r w:rsidR="00DD3354" w:rsidRPr="00AD5287">
        <w:rPr>
          <w:rFonts w:cs="Arial"/>
          <w:sz w:val="22"/>
          <w:szCs w:val="22"/>
          <w:lang w:val="el-GR"/>
        </w:rPr>
        <w:t>2</w:t>
      </w:r>
      <w:r w:rsidR="00B10028">
        <w:rPr>
          <w:rFonts w:cs="Arial"/>
          <w:sz w:val="22"/>
          <w:szCs w:val="22"/>
          <w:lang w:val="el-GR"/>
        </w:rPr>
        <w:t>5</w:t>
      </w:r>
    </w:p>
    <w:p w14:paraId="3AE919F3" w14:textId="0B0D9833" w:rsidR="00B14366" w:rsidRDefault="00B14366" w:rsidP="004F4A55">
      <w:pPr>
        <w:spacing w:after="0" w:line="240" w:lineRule="auto"/>
        <w:jc w:val="both"/>
        <w:rPr>
          <w:rFonts w:eastAsia="Calibri" w:cs="Arial"/>
          <w:bCs/>
          <w:sz w:val="22"/>
          <w:szCs w:val="22"/>
        </w:rPr>
      </w:pPr>
    </w:p>
    <w:p w14:paraId="1555DC33" w14:textId="77777777" w:rsidR="00604AA4" w:rsidRPr="00AD5287" w:rsidRDefault="00604AA4" w:rsidP="004F4A55">
      <w:pPr>
        <w:spacing w:after="0" w:line="240" w:lineRule="auto"/>
        <w:jc w:val="both"/>
        <w:rPr>
          <w:rFonts w:eastAsia="Calibri" w:cs="Arial"/>
          <w:bCs/>
          <w:sz w:val="22"/>
          <w:szCs w:val="22"/>
        </w:rPr>
      </w:pPr>
    </w:p>
    <w:p w14:paraId="588EB439" w14:textId="77777777" w:rsidR="006669A1" w:rsidRPr="004A4A9A" w:rsidRDefault="006669A1" w:rsidP="004A4A9A">
      <w:pPr>
        <w:spacing w:after="0" w:line="240" w:lineRule="auto"/>
        <w:jc w:val="both"/>
        <w:textAlignment w:val="baseline"/>
        <w:rPr>
          <w:rFonts w:cs="Arial"/>
          <w:b/>
          <w:bCs/>
          <w:color w:val="000000"/>
          <w:sz w:val="24"/>
          <w:szCs w:val="24"/>
          <w:bdr w:val="none" w:sz="0" w:space="0" w:color="auto" w:frame="1"/>
          <w:lang w:eastAsia="el-GR"/>
        </w:rPr>
      </w:pPr>
    </w:p>
    <w:p w14:paraId="68413035" w14:textId="3720A025" w:rsidR="004A4A9A" w:rsidRDefault="004A4A9A" w:rsidP="00B10028">
      <w:pPr>
        <w:spacing w:after="0" w:line="240" w:lineRule="auto"/>
        <w:jc w:val="center"/>
        <w:textAlignment w:val="baseline"/>
        <w:rPr>
          <w:rFonts w:cs="Arial"/>
          <w:b/>
          <w:bCs/>
          <w:color w:val="000000"/>
          <w:sz w:val="24"/>
          <w:szCs w:val="24"/>
          <w:bdr w:val="none" w:sz="0" w:space="0" w:color="auto" w:frame="1"/>
          <w:lang w:eastAsia="el-GR"/>
        </w:rPr>
      </w:pPr>
      <w:r>
        <w:rPr>
          <w:rFonts w:cs="Arial"/>
          <w:b/>
          <w:bCs/>
          <w:color w:val="000000"/>
          <w:sz w:val="24"/>
          <w:szCs w:val="24"/>
          <w:bdr w:val="none" w:sz="0" w:space="0" w:color="auto" w:frame="1"/>
          <w:lang w:eastAsia="el-GR"/>
        </w:rPr>
        <w:t xml:space="preserve">Ξεκινά η υποβολή αιτήσεων για επιδοτήσεις </w:t>
      </w:r>
      <w:r w:rsidR="00B10028" w:rsidRPr="00B10028">
        <w:rPr>
          <w:rFonts w:cs="Arial"/>
          <w:b/>
          <w:bCs/>
          <w:color w:val="000000"/>
          <w:sz w:val="24"/>
          <w:szCs w:val="24"/>
          <w:bdr w:val="none" w:sz="0" w:space="0" w:color="auto" w:frame="1"/>
          <w:lang w:eastAsia="el-GR"/>
        </w:rPr>
        <w:t xml:space="preserve">κέντρων φροντίδας πρώιμης παιδικής ηλικίας </w:t>
      </w:r>
      <w:r w:rsidR="00B10028" w:rsidRPr="00B10028">
        <w:rPr>
          <w:rFonts w:cs="Arial"/>
          <w:b/>
          <w:bCs/>
          <w:color w:val="000000"/>
          <w:sz w:val="24"/>
          <w:szCs w:val="24"/>
          <w:bdr w:val="none" w:sz="0" w:space="0" w:color="auto" w:frame="1"/>
          <w:lang w:eastAsia="el-GR"/>
        </w:rPr>
        <w:t>(</w:t>
      </w:r>
      <w:r w:rsidRPr="00B10028">
        <w:rPr>
          <w:rFonts w:cs="Arial"/>
          <w:b/>
          <w:bCs/>
          <w:color w:val="000000"/>
          <w:sz w:val="24"/>
          <w:szCs w:val="24"/>
          <w:bdr w:val="none" w:sz="0" w:space="0" w:color="auto" w:frame="1"/>
          <w:lang w:eastAsia="el-GR"/>
        </w:rPr>
        <w:t>βρεφικών σταθμών</w:t>
      </w:r>
      <w:r w:rsidR="00B10028" w:rsidRPr="00B10028">
        <w:rPr>
          <w:rFonts w:cs="Arial"/>
          <w:b/>
          <w:bCs/>
          <w:color w:val="000000"/>
          <w:sz w:val="24"/>
          <w:szCs w:val="24"/>
          <w:bdr w:val="none" w:sz="0" w:space="0" w:color="auto" w:frame="1"/>
          <w:lang w:eastAsia="el-GR"/>
        </w:rPr>
        <w:t>)</w:t>
      </w:r>
    </w:p>
    <w:p w14:paraId="73ED893B" w14:textId="77777777" w:rsidR="00710F07" w:rsidRPr="004A4A9A" w:rsidRDefault="00710F07" w:rsidP="00B10028">
      <w:pPr>
        <w:spacing w:after="0" w:line="240" w:lineRule="auto"/>
        <w:jc w:val="center"/>
        <w:textAlignment w:val="baseline"/>
        <w:rPr>
          <w:rFonts w:cs="Arial"/>
          <w:b/>
          <w:bCs/>
          <w:color w:val="000000"/>
          <w:sz w:val="24"/>
          <w:szCs w:val="24"/>
          <w:bdr w:val="none" w:sz="0" w:space="0" w:color="auto" w:frame="1"/>
          <w:lang w:eastAsia="el-GR"/>
        </w:rPr>
      </w:pPr>
    </w:p>
    <w:p w14:paraId="5472CCF9" w14:textId="4261AB44" w:rsidR="004A4A9A" w:rsidRPr="00710F07" w:rsidRDefault="00710F07" w:rsidP="00710F07">
      <w:pPr>
        <w:pStyle w:val="ListParagraph"/>
        <w:numPr>
          <w:ilvl w:val="0"/>
          <w:numId w:val="23"/>
        </w:numPr>
        <w:spacing w:after="0" w:line="240" w:lineRule="auto"/>
        <w:jc w:val="both"/>
        <w:textAlignment w:val="baseline"/>
        <w:rPr>
          <w:rFonts w:cs="Arial"/>
          <w:b/>
          <w:bCs/>
          <w:color w:val="000000"/>
          <w:sz w:val="24"/>
          <w:szCs w:val="24"/>
          <w:bdr w:val="none" w:sz="0" w:space="0" w:color="auto" w:frame="1"/>
          <w:lang w:eastAsia="el-GR"/>
        </w:rPr>
      </w:pPr>
      <w:r>
        <w:rPr>
          <w:rFonts w:cs="Arial"/>
          <w:b/>
          <w:bCs/>
          <w:color w:val="000000"/>
          <w:sz w:val="24"/>
          <w:szCs w:val="24"/>
          <w:bdr w:val="none" w:sz="0" w:space="0" w:color="auto" w:frame="1"/>
          <w:lang w:eastAsia="el-GR"/>
        </w:rPr>
        <w:t xml:space="preserve">Επιδοτήσεις έως 300 χιλιάδες ευρώ για νέα ή υφιστάμενα κέντρα για </w:t>
      </w:r>
      <w:r w:rsidRPr="004A4A9A">
        <w:rPr>
          <w:rFonts w:cs="Arial"/>
          <w:b/>
          <w:bCs/>
          <w:sz w:val="24"/>
          <w:szCs w:val="24"/>
        </w:rPr>
        <w:t>επιπλέον 20.000 θέσεις για βρέφη από 2 μηνών έως 2,5 ετών</w:t>
      </w:r>
      <w:r>
        <w:rPr>
          <w:rFonts w:cs="Arial"/>
          <w:b/>
          <w:bCs/>
          <w:sz w:val="24"/>
          <w:szCs w:val="24"/>
        </w:rPr>
        <w:t xml:space="preserve"> μέχρι τις αρχές του 2026</w:t>
      </w:r>
    </w:p>
    <w:p w14:paraId="37C4C3CA" w14:textId="77777777" w:rsidR="00710F07" w:rsidRPr="00710F07" w:rsidRDefault="00710F07" w:rsidP="004A4A9A">
      <w:pPr>
        <w:spacing w:after="0" w:line="240" w:lineRule="auto"/>
        <w:jc w:val="both"/>
        <w:textAlignment w:val="baseline"/>
        <w:rPr>
          <w:rFonts w:cs="Arial"/>
          <w:b/>
          <w:bCs/>
          <w:color w:val="000000"/>
          <w:sz w:val="24"/>
          <w:szCs w:val="24"/>
          <w:bdr w:val="none" w:sz="0" w:space="0" w:color="auto" w:frame="1"/>
          <w:lang w:eastAsia="el-GR"/>
        </w:rPr>
      </w:pPr>
    </w:p>
    <w:p w14:paraId="0AB1F24E" w14:textId="0F564EC4" w:rsidR="004A4A9A" w:rsidRPr="004A4A9A" w:rsidRDefault="004A4A9A" w:rsidP="004A4A9A">
      <w:pPr>
        <w:spacing w:after="0" w:line="240" w:lineRule="auto"/>
        <w:jc w:val="both"/>
        <w:textAlignment w:val="baseline"/>
        <w:rPr>
          <w:rFonts w:cs="Arial"/>
          <w:color w:val="000000"/>
          <w:sz w:val="24"/>
          <w:szCs w:val="24"/>
          <w:bdr w:val="none" w:sz="0" w:space="0" w:color="auto" w:frame="1"/>
          <w:lang w:eastAsia="el-GR"/>
        </w:rPr>
      </w:pPr>
      <w:r w:rsidRPr="004A4A9A">
        <w:rPr>
          <w:rFonts w:cs="Arial"/>
          <w:color w:val="000000"/>
          <w:sz w:val="24"/>
          <w:szCs w:val="24"/>
          <w:bdr w:val="none" w:sz="0" w:space="0" w:color="auto" w:frame="1"/>
          <w:lang w:eastAsia="el-GR"/>
        </w:rPr>
        <w:t>Ξεκίνησε σήμερα 13 Ιανουαρίου 2025 η παραγωγική λειτουργία της ηλεκτρονικής πλατφόρμας</w:t>
      </w:r>
      <w:r>
        <w:rPr>
          <w:rFonts w:cs="Arial"/>
          <w:color w:val="000000"/>
          <w:sz w:val="24"/>
          <w:szCs w:val="24"/>
          <w:bdr w:val="none" w:sz="0" w:space="0" w:color="auto" w:frame="1"/>
          <w:lang w:eastAsia="el-GR"/>
        </w:rPr>
        <w:t xml:space="preserve"> (</w:t>
      </w:r>
      <w:hyperlink r:id="rId9" w:history="1">
        <w:r w:rsidRPr="004A4A9A">
          <w:rPr>
            <w:rFonts w:eastAsiaTheme="minorHAnsi" w:cs="Arial"/>
            <w:bCs/>
            <w:color w:val="0563C1" w:themeColor="hyperlink"/>
            <w:kern w:val="2"/>
            <w:sz w:val="22"/>
            <w:szCs w:val="22"/>
            <w:u w:val="single"/>
          </w:rPr>
          <w:t xml:space="preserve"> vns-2-0.tee.gov.gr</w:t>
        </w:r>
      </w:hyperlink>
      <w:r>
        <w:rPr>
          <w:rFonts w:cs="Arial"/>
          <w:color w:val="000000"/>
          <w:sz w:val="24"/>
          <w:szCs w:val="24"/>
          <w:bdr w:val="none" w:sz="0" w:space="0" w:color="auto" w:frame="1"/>
          <w:lang w:eastAsia="el-GR"/>
        </w:rPr>
        <w:t xml:space="preserve">) </w:t>
      </w:r>
      <w:r w:rsidRPr="004A4A9A">
        <w:rPr>
          <w:rFonts w:cs="Arial"/>
          <w:color w:val="000000"/>
          <w:sz w:val="24"/>
          <w:szCs w:val="24"/>
          <w:bdr w:val="none" w:sz="0" w:space="0" w:color="auto" w:frame="1"/>
          <w:lang w:eastAsia="el-GR"/>
        </w:rPr>
        <w:t>για την υποβολή αιτήσεων από ενδιαφερόμενους για ένταξη στο πρόγραμμα «</w:t>
      </w:r>
      <w:r w:rsidR="00E430D8">
        <w:rPr>
          <w:rFonts w:cs="Arial"/>
          <w:color w:val="000000"/>
          <w:sz w:val="24"/>
          <w:szCs w:val="24"/>
          <w:bdr w:val="none" w:sz="0" w:space="0" w:color="auto" w:frame="1"/>
          <w:lang w:eastAsia="el-GR"/>
        </w:rPr>
        <w:t>υ</w:t>
      </w:r>
      <w:r w:rsidRPr="004A4A9A">
        <w:rPr>
          <w:rFonts w:cs="Arial"/>
          <w:color w:val="000000"/>
          <w:sz w:val="24"/>
          <w:szCs w:val="24"/>
          <w:bdr w:val="none" w:sz="0" w:space="0" w:color="auto" w:frame="1"/>
          <w:lang w:eastAsia="el-GR"/>
        </w:rPr>
        <w:t>ποστήριξη της έναρξης/δημιουργίας νέων κέντρων</w:t>
      </w:r>
      <w:r w:rsidRPr="004A4A9A">
        <w:rPr>
          <w:rFonts w:cs="Arial"/>
          <w:color w:val="000000"/>
          <w:sz w:val="24"/>
          <w:szCs w:val="24"/>
          <w:bdr w:val="none" w:sz="0" w:space="0" w:color="auto" w:frame="1"/>
          <w:lang w:eastAsia="el-GR"/>
        </w:rPr>
        <w:t xml:space="preserve"> </w:t>
      </w:r>
      <w:r w:rsidRPr="004A4A9A">
        <w:rPr>
          <w:rFonts w:cs="Arial"/>
          <w:color w:val="000000"/>
          <w:sz w:val="24"/>
          <w:szCs w:val="24"/>
          <w:bdr w:val="none" w:sz="0" w:space="0" w:color="auto" w:frame="1"/>
          <w:lang w:eastAsia="el-GR"/>
        </w:rPr>
        <w:t>φροντίδας πρώιμης παιδικής ηλικίας ή νέων θέσεων σε υπάρχοντα κέντρα φροντίδας για</w:t>
      </w:r>
      <w:r w:rsidRPr="004A4A9A">
        <w:rPr>
          <w:rFonts w:cs="Arial"/>
          <w:color w:val="000000"/>
          <w:sz w:val="24"/>
          <w:szCs w:val="24"/>
          <w:bdr w:val="none" w:sz="0" w:space="0" w:color="auto" w:frame="1"/>
          <w:lang w:eastAsia="el-GR"/>
        </w:rPr>
        <w:t xml:space="preserve"> </w:t>
      </w:r>
      <w:r w:rsidRPr="004A4A9A">
        <w:rPr>
          <w:rFonts w:cs="Arial"/>
          <w:color w:val="000000"/>
          <w:sz w:val="24"/>
          <w:szCs w:val="24"/>
          <w:bdr w:val="none" w:sz="0" w:space="0" w:color="auto" w:frame="1"/>
          <w:lang w:eastAsia="el-GR"/>
        </w:rPr>
        <w:t>βρέφη από 2 μηνών έως 2,5 ετών (παιδικά κέντρα)»</w:t>
      </w:r>
      <w:r w:rsidRPr="004A4A9A">
        <w:rPr>
          <w:rFonts w:cs="Arial"/>
          <w:color w:val="000000"/>
          <w:sz w:val="24"/>
          <w:szCs w:val="24"/>
          <w:bdr w:val="none" w:sz="0" w:space="0" w:color="auto" w:frame="1"/>
          <w:lang w:eastAsia="el-GR"/>
        </w:rPr>
        <w:t>.</w:t>
      </w:r>
    </w:p>
    <w:p w14:paraId="146F68ED" w14:textId="77777777" w:rsidR="004A4A9A" w:rsidRPr="004A4A9A" w:rsidRDefault="004A4A9A" w:rsidP="004A4A9A">
      <w:pPr>
        <w:spacing w:after="0" w:line="240" w:lineRule="auto"/>
        <w:jc w:val="both"/>
        <w:textAlignment w:val="baseline"/>
        <w:rPr>
          <w:rFonts w:cs="Arial"/>
          <w:b/>
          <w:bCs/>
          <w:color w:val="000000"/>
          <w:sz w:val="24"/>
          <w:szCs w:val="24"/>
          <w:bdr w:val="none" w:sz="0" w:space="0" w:color="auto" w:frame="1"/>
          <w:lang w:eastAsia="el-GR"/>
        </w:rPr>
      </w:pPr>
    </w:p>
    <w:p w14:paraId="5879FD67" w14:textId="77777777" w:rsidR="004A4A9A" w:rsidRDefault="004A4A9A" w:rsidP="004A4A9A">
      <w:pPr>
        <w:spacing w:after="0" w:line="240" w:lineRule="auto"/>
        <w:jc w:val="both"/>
        <w:rPr>
          <w:rFonts w:cs="Arial"/>
          <w:sz w:val="24"/>
          <w:szCs w:val="24"/>
        </w:rPr>
      </w:pPr>
      <w:r w:rsidRPr="004A4A9A">
        <w:rPr>
          <w:rFonts w:cs="Arial"/>
          <w:sz w:val="24"/>
          <w:szCs w:val="24"/>
        </w:rPr>
        <w:t xml:space="preserve">Τη δημιουργία νέων κέντρων φροντίδας πρώιμης παιδικής ηλικίας ή και την προσθήκη νέων θέσεων σε υπάρχοντα, χρηματοδοτεί το </w:t>
      </w:r>
      <w:r w:rsidRPr="004A4A9A">
        <w:rPr>
          <w:rFonts w:cs="Arial"/>
          <w:b/>
          <w:bCs/>
          <w:sz w:val="24"/>
          <w:szCs w:val="24"/>
        </w:rPr>
        <w:t>Υπουργείο Κοινωνικής Συνοχής και Οικογένειας</w:t>
      </w:r>
      <w:r w:rsidRPr="004A4A9A">
        <w:rPr>
          <w:rFonts w:cs="Arial"/>
          <w:sz w:val="24"/>
          <w:szCs w:val="24"/>
        </w:rPr>
        <w:t xml:space="preserve"> με το ποσό των </w:t>
      </w:r>
      <w:r w:rsidRPr="004A4A9A">
        <w:rPr>
          <w:rFonts w:cs="Arial"/>
          <w:b/>
          <w:bCs/>
          <w:sz w:val="24"/>
          <w:szCs w:val="24"/>
        </w:rPr>
        <w:t>70 εκατ. ευρώ μέσω του Ταμείου Ανάκαμψης και Ανθεκτικότητας</w:t>
      </w:r>
      <w:r w:rsidRPr="004A4A9A">
        <w:rPr>
          <w:rFonts w:cs="Arial"/>
          <w:sz w:val="24"/>
          <w:szCs w:val="24"/>
        </w:rPr>
        <w:t>, σε συνεργασία με το Τεχνικό Επιμελητήριο Ελλάδας, που αποτελεί τον φορέα υλοποίησης του έργου.</w:t>
      </w:r>
    </w:p>
    <w:p w14:paraId="7236DA79" w14:textId="77777777" w:rsidR="004A4A9A" w:rsidRDefault="004A4A9A" w:rsidP="004A4A9A">
      <w:pPr>
        <w:spacing w:after="0" w:line="240" w:lineRule="auto"/>
        <w:jc w:val="both"/>
        <w:rPr>
          <w:rFonts w:cs="Arial"/>
          <w:sz w:val="24"/>
          <w:szCs w:val="24"/>
        </w:rPr>
      </w:pPr>
    </w:p>
    <w:p w14:paraId="12132643" w14:textId="79E1C136" w:rsidR="004A4A9A" w:rsidRPr="004A4A9A" w:rsidRDefault="004A4A9A" w:rsidP="004A4A9A">
      <w:pPr>
        <w:spacing w:after="0" w:line="240" w:lineRule="auto"/>
        <w:jc w:val="both"/>
        <w:rPr>
          <w:rFonts w:cs="Arial"/>
          <w:sz w:val="24"/>
          <w:szCs w:val="24"/>
        </w:rPr>
      </w:pPr>
      <w:r w:rsidRPr="004A4A9A">
        <w:rPr>
          <w:rFonts w:cs="Arial"/>
          <w:sz w:val="24"/>
          <w:szCs w:val="24"/>
        </w:rPr>
        <w:t xml:space="preserve">Η </w:t>
      </w:r>
      <w:r w:rsidRPr="00B10028">
        <w:rPr>
          <w:rFonts w:cs="Arial"/>
          <w:b/>
          <w:bCs/>
          <w:sz w:val="24"/>
          <w:szCs w:val="24"/>
        </w:rPr>
        <w:t>Υπουργός Κοινωνικής Συνοχής και Οικογένειας, Σοφία Ζαχαράκη</w:t>
      </w:r>
      <w:r w:rsidRPr="004A4A9A">
        <w:rPr>
          <w:rFonts w:cs="Arial"/>
          <w:sz w:val="24"/>
          <w:szCs w:val="24"/>
        </w:rPr>
        <w:t xml:space="preserve"> κάλεσε</w:t>
      </w:r>
      <w:r>
        <w:rPr>
          <w:rFonts w:cs="Arial"/>
          <w:sz w:val="24"/>
          <w:szCs w:val="24"/>
        </w:rPr>
        <w:t xml:space="preserve"> ήδη </w:t>
      </w:r>
      <w:r w:rsidRPr="004A4A9A">
        <w:rPr>
          <w:rFonts w:cs="Arial"/>
          <w:sz w:val="24"/>
          <w:szCs w:val="24"/>
        </w:rPr>
        <w:t xml:space="preserve"> τους Δημάρχους, με σχετική επιστολή της προς την Κεντρική Ένωση Δήμων Ελλάδας, να αξιοποιήσουν τη δυνατότητα, η οποία δόθηκε με νομοθετική ρύθμιση του ΥΚΟΙΣΟ και στους ΟΤΑ α΄ βαθμού, να ενισχύσουν τις θέσεις στους υπάρχοντες δημοτικούς σταθμούς ή να δημιουργήσουν και νέες. </w:t>
      </w:r>
    </w:p>
    <w:p w14:paraId="6F8FF2F3" w14:textId="77777777" w:rsidR="004A4A9A" w:rsidRDefault="004A4A9A" w:rsidP="004A4A9A">
      <w:pPr>
        <w:spacing w:after="0" w:line="240" w:lineRule="auto"/>
        <w:jc w:val="both"/>
        <w:rPr>
          <w:rFonts w:cs="Arial"/>
          <w:sz w:val="24"/>
          <w:szCs w:val="24"/>
        </w:rPr>
      </w:pPr>
    </w:p>
    <w:p w14:paraId="00B6210D" w14:textId="706A33EA" w:rsidR="004A4A9A" w:rsidRPr="004A4A9A" w:rsidRDefault="004A4A9A" w:rsidP="004A4A9A">
      <w:pPr>
        <w:spacing w:after="0" w:line="240" w:lineRule="auto"/>
        <w:jc w:val="both"/>
        <w:rPr>
          <w:rFonts w:cs="Arial"/>
          <w:sz w:val="24"/>
          <w:szCs w:val="24"/>
        </w:rPr>
      </w:pPr>
      <w:r w:rsidRPr="004A4A9A">
        <w:rPr>
          <w:rFonts w:cs="Arial"/>
          <w:sz w:val="24"/>
          <w:szCs w:val="24"/>
        </w:rPr>
        <w:t>Πιο αναλυτικά, το πρόγραμμα αφορά στην οικονομική υποστήριξη δημόσιων επιχειρήσεων και φορέων του δημοσίου, των δήμων καθώς και ιδιωτών</w:t>
      </w:r>
      <w:r>
        <w:rPr>
          <w:rFonts w:cs="Arial"/>
          <w:sz w:val="24"/>
          <w:szCs w:val="24"/>
        </w:rPr>
        <w:t>-επιχειρήσεων</w:t>
      </w:r>
      <w:r w:rsidRPr="004A4A9A">
        <w:rPr>
          <w:rFonts w:cs="Arial"/>
          <w:sz w:val="24"/>
          <w:szCs w:val="24"/>
        </w:rPr>
        <w:t xml:space="preserve"> για τη </w:t>
      </w:r>
      <w:r w:rsidRPr="004A4A9A">
        <w:rPr>
          <w:rFonts w:cs="Arial"/>
          <w:b/>
          <w:bCs/>
          <w:sz w:val="24"/>
          <w:szCs w:val="24"/>
        </w:rPr>
        <w:t>δημιουργία νέων βρεφονηπιακών σταθμών ή νέων τμημάτων στους υπάρχοντες</w:t>
      </w:r>
      <w:r w:rsidRPr="004A4A9A">
        <w:rPr>
          <w:rFonts w:cs="Arial"/>
          <w:sz w:val="24"/>
          <w:szCs w:val="24"/>
        </w:rPr>
        <w:t xml:space="preserve"> προκειμένου να δημιουργηθούν </w:t>
      </w:r>
      <w:r w:rsidRPr="004A4A9A">
        <w:rPr>
          <w:rFonts w:cs="Arial"/>
          <w:b/>
          <w:bCs/>
          <w:sz w:val="24"/>
          <w:szCs w:val="24"/>
        </w:rPr>
        <w:t>επιπλέον 20.000 θέσεις για βρέφη από 2 μηνών έως 2,5 ετών</w:t>
      </w:r>
      <w:r w:rsidRPr="004A4A9A">
        <w:rPr>
          <w:rFonts w:cs="Arial"/>
          <w:sz w:val="24"/>
          <w:szCs w:val="24"/>
        </w:rPr>
        <w:t xml:space="preserve"> για την περίοδο έως και το </w:t>
      </w:r>
      <w:proofErr w:type="spellStart"/>
      <w:r w:rsidRPr="004A4A9A">
        <w:rPr>
          <w:rFonts w:cs="Arial"/>
          <w:sz w:val="24"/>
          <w:szCs w:val="24"/>
        </w:rPr>
        <w:t>α΄τρίμηνο</w:t>
      </w:r>
      <w:proofErr w:type="spellEnd"/>
      <w:r w:rsidRPr="004A4A9A">
        <w:rPr>
          <w:rFonts w:cs="Arial"/>
          <w:sz w:val="24"/>
          <w:szCs w:val="24"/>
        </w:rPr>
        <w:t xml:space="preserve"> του 2026.</w:t>
      </w:r>
    </w:p>
    <w:p w14:paraId="3930D5E3" w14:textId="77777777" w:rsidR="004A4A9A" w:rsidRDefault="004A4A9A" w:rsidP="004A4A9A">
      <w:pPr>
        <w:tabs>
          <w:tab w:val="left" w:pos="780"/>
        </w:tabs>
        <w:spacing w:after="0" w:line="240" w:lineRule="auto"/>
        <w:ind w:right="-23"/>
        <w:jc w:val="both"/>
        <w:rPr>
          <w:rFonts w:cs="Arial"/>
          <w:sz w:val="24"/>
          <w:szCs w:val="24"/>
        </w:rPr>
      </w:pPr>
    </w:p>
    <w:p w14:paraId="661E97A8" w14:textId="7911F16F" w:rsidR="004A4A9A" w:rsidRPr="004A4A9A" w:rsidRDefault="004A4A9A" w:rsidP="004A4A9A">
      <w:pPr>
        <w:tabs>
          <w:tab w:val="left" w:pos="780"/>
        </w:tabs>
        <w:spacing w:after="0" w:line="240" w:lineRule="auto"/>
        <w:ind w:right="-23"/>
        <w:jc w:val="both"/>
        <w:rPr>
          <w:rFonts w:cs="Arial"/>
          <w:bCs/>
          <w:sz w:val="24"/>
          <w:szCs w:val="24"/>
        </w:rPr>
      </w:pPr>
      <w:r w:rsidRPr="004A4A9A">
        <w:rPr>
          <w:rFonts w:cs="Arial"/>
          <w:sz w:val="24"/>
          <w:szCs w:val="24"/>
        </w:rPr>
        <w:t>Το πρόγραμμα απευθύνεται σε</w:t>
      </w:r>
      <w:r w:rsidRPr="004A4A9A">
        <w:rPr>
          <w:rFonts w:cs="Arial"/>
          <w:bCs/>
          <w:sz w:val="24"/>
          <w:szCs w:val="24"/>
        </w:rPr>
        <w:t xml:space="preserve"> </w:t>
      </w:r>
      <w:r w:rsidRPr="00B10028">
        <w:rPr>
          <w:rFonts w:cs="Arial"/>
          <w:b/>
          <w:sz w:val="24"/>
          <w:szCs w:val="24"/>
        </w:rPr>
        <w:t xml:space="preserve">δημόσιες και ιδιωτικές επιχειρήσεις, </w:t>
      </w:r>
      <w:r w:rsidR="006E7D50">
        <w:rPr>
          <w:rFonts w:cs="Arial"/>
          <w:b/>
          <w:sz w:val="24"/>
          <w:szCs w:val="24"/>
        </w:rPr>
        <w:t xml:space="preserve">σε οργανώσεις της κοινωνίας των πολιτών </w:t>
      </w:r>
      <w:r w:rsidRPr="00B10028">
        <w:rPr>
          <w:rFonts w:cs="Arial"/>
          <w:b/>
          <w:sz w:val="24"/>
          <w:szCs w:val="24"/>
        </w:rPr>
        <w:t>καθώς και ΝΠΔΔ και ΟΤΑ α’ βαθμού</w:t>
      </w:r>
      <w:r w:rsidRPr="004A4A9A">
        <w:rPr>
          <w:rFonts w:cs="Arial"/>
          <w:bCs/>
          <w:sz w:val="24"/>
          <w:szCs w:val="24"/>
        </w:rPr>
        <w:t xml:space="preserve">. </w:t>
      </w:r>
      <w:r w:rsidRPr="004A4A9A">
        <w:rPr>
          <w:rFonts w:cs="Arial"/>
          <w:sz w:val="24"/>
          <w:szCs w:val="24"/>
        </w:rPr>
        <w:t xml:space="preserve">Το ύψος της επιδότησης – ενίσχυσης ανέρχεται στο </w:t>
      </w:r>
      <w:r w:rsidRPr="004A4A9A">
        <w:rPr>
          <w:rFonts w:cs="Arial"/>
          <w:bCs/>
          <w:sz w:val="24"/>
          <w:szCs w:val="24"/>
        </w:rPr>
        <w:t>50% του συνολικού κόστους (</w:t>
      </w:r>
      <w:r w:rsidRPr="00B10028">
        <w:rPr>
          <w:rFonts w:cs="Arial"/>
          <w:b/>
          <w:sz w:val="24"/>
          <w:szCs w:val="24"/>
        </w:rPr>
        <w:t>μέγιστο ποσό 300.000 ανά σχέδιο</w:t>
      </w:r>
      <w:r w:rsidRPr="004A4A9A">
        <w:rPr>
          <w:rFonts w:cs="Arial"/>
          <w:bCs/>
          <w:sz w:val="24"/>
          <w:szCs w:val="24"/>
        </w:rPr>
        <w:t>) και οι επιλέξιμες δαπάνες αφορούν:</w:t>
      </w:r>
    </w:p>
    <w:p w14:paraId="3EAD011E" w14:textId="77777777" w:rsidR="004A4A9A" w:rsidRPr="00B10028" w:rsidRDefault="004A4A9A" w:rsidP="004A4A9A">
      <w:pPr>
        <w:pStyle w:val="ListParagraph"/>
        <w:numPr>
          <w:ilvl w:val="0"/>
          <w:numId w:val="21"/>
        </w:numPr>
        <w:spacing w:after="0" w:line="240" w:lineRule="auto"/>
        <w:jc w:val="both"/>
        <w:rPr>
          <w:rFonts w:cs="Arial"/>
          <w:b/>
          <w:bCs/>
          <w:sz w:val="24"/>
          <w:szCs w:val="24"/>
        </w:rPr>
      </w:pPr>
      <w:r w:rsidRPr="00B10028">
        <w:rPr>
          <w:rFonts w:cs="Arial"/>
          <w:b/>
          <w:bCs/>
          <w:sz w:val="24"/>
          <w:szCs w:val="24"/>
        </w:rPr>
        <w:t xml:space="preserve">Κτιριακές υποδομές και διαμόρφωση εξωτερικού χώρου </w:t>
      </w:r>
    </w:p>
    <w:p w14:paraId="0E10AF39" w14:textId="77777777" w:rsidR="004A4A9A" w:rsidRPr="00B10028" w:rsidRDefault="004A4A9A" w:rsidP="004A4A9A">
      <w:pPr>
        <w:pStyle w:val="ListParagraph"/>
        <w:numPr>
          <w:ilvl w:val="0"/>
          <w:numId w:val="21"/>
        </w:numPr>
        <w:spacing w:after="0" w:line="240" w:lineRule="auto"/>
        <w:jc w:val="both"/>
        <w:rPr>
          <w:rFonts w:cs="Arial"/>
          <w:b/>
          <w:bCs/>
          <w:sz w:val="24"/>
          <w:szCs w:val="24"/>
        </w:rPr>
      </w:pPr>
      <w:r w:rsidRPr="00B10028">
        <w:rPr>
          <w:rFonts w:cs="Arial"/>
          <w:b/>
          <w:bCs/>
          <w:sz w:val="24"/>
          <w:szCs w:val="24"/>
        </w:rPr>
        <w:t xml:space="preserve">Μόνιμο εξοπλισμό για την λειτουργία του σταθμού </w:t>
      </w:r>
    </w:p>
    <w:p w14:paraId="311ED096" w14:textId="77777777" w:rsidR="004A4A9A" w:rsidRPr="00B10028" w:rsidRDefault="004A4A9A" w:rsidP="004A4A9A">
      <w:pPr>
        <w:pStyle w:val="ListParagraph"/>
        <w:numPr>
          <w:ilvl w:val="0"/>
          <w:numId w:val="21"/>
        </w:numPr>
        <w:spacing w:after="0" w:line="240" w:lineRule="auto"/>
        <w:jc w:val="both"/>
        <w:rPr>
          <w:rFonts w:cs="Arial"/>
          <w:b/>
          <w:bCs/>
          <w:sz w:val="24"/>
          <w:szCs w:val="24"/>
        </w:rPr>
      </w:pPr>
      <w:r w:rsidRPr="00B10028">
        <w:rPr>
          <w:rFonts w:cs="Arial"/>
          <w:b/>
          <w:bCs/>
          <w:sz w:val="24"/>
          <w:szCs w:val="24"/>
        </w:rPr>
        <w:t>Απαιτούμενες προπαρασκευαστικές και υποστηρικτικές μελέτες</w:t>
      </w:r>
    </w:p>
    <w:p w14:paraId="506C0ABA" w14:textId="77777777" w:rsidR="004A4A9A" w:rsidRDefault="004A4A9A" w:rsidP="004A4A9A">
      <w:pPr>
        <w:spacing w:after="0" w:line="240" w:lineRule="auto"/>
        <w:ind w:right="41"/>
        <w:jc w:val="both"/>
        <w:rPr>
          <w:rFonts w:cs="Arial"/>
          <w:sz w:val="24"/>
          <w:szCs w:val="24"/>
        </w:rPr>
      </w:pPr>
    </w:p>
    <w:p w14:paraId="0634CAC9" w14:textId="12B90E4D" w:rsidR="004A4A9A" w:rsidRPr="004A4A9A" w:rsidRDefault="004A4A9A" w:rsidP="004A4A9A">
      <w:pPr>
        <w:spacing w:after="0" w:line="240" w:lineRule="auto"/>
        <w:ind w:right="41"/>
        <w:jc w:val="both"/>
        <w:rPr>
          <w:rFonts w:cs="Arial"/>
          <w:sz w:val="24"/>
          <w:szCs w:val="24"/>
        </w:rPr>
      </w:pPr>
      <w:r w:rsidRPr="004A4A9A">
        <w:rPr>
          <w:rFonts w:cs="Arial"/>
          <w:sz w:val="24"/>
          <w:szCs w:val="24"/>
        </w:rPr>
        <w:lastRenderedPageBreak/>
        <w:t xml:space="preserve">Η έναρξη </w:t>
      </w:r>
      <w:proofErr w:type="spellStart"/>
      <w:r w:rsidRPr="004A4A9A">
        <w:rPr>
          <w:rFonts w:cs="Arial"/>
          <w:sz w:val="24"/>
          <w:szCs w:val="24"/>
        </w:rPr>
        <w:t>επιλεξιμότητας</w:t>
      </w:r>
      <w:proofErr w:type="spellEnd"/>
      <w:r w:rsidRPr="004A4A9A">
        <w:rPr>
          <w:rFonts w:cs="Arial"/>
          <w:sz w:val="24"/>
          <w:szCs w:val="24"/>
        </w:rPr>
        <w:t xml:space="preserve"> δαπανών αρχίζει από την ημερομηνία υποβολής της αίτησης χρηματοδότησης από τους υποψήφιους δικαιούχους, η οποία γίνεται </w:t>
      </w:r>
      <w:r w:rsidRPr="004A4A9A">
        <w:rPr>
          <w:rFonts w:cs="Arial"/>
          <w:b/>
          <w:bCs/>
          <w:sz w:val="24"/>
          <w:szCs w:val="24"/>
        </w:rPr>
        <w:t xml:space="preserve">μέσω της ηλεκτρονικής πλατφόρμας </w:t>
      </w:r>
      <w:hyperlink r:id="rId10" w:history="1">
        <w:r w:rsidRPr="004A4A9A">
          <w:rPr>
            <w:rStyle w:val="Hyperlink"/>
            <w:rFonts w:cs="Arial"/>
            <w:sz w:val="24"/>
            <w:szCs w:val="24"/>
          </w:rPr>
          <w:t>http://vns-2-0.tee.gov.gr/</w:t>
        </w:r>
      </w:hyperlink>
      <w:r w:rsidRPr="004A4A9A">
        <w:rPr>
          <w:rFonts w:cs="Arial"/>
          <w:sz w:val="24"/>
          <w:szCs w:val="24"/>
        </w:rPr>
        <w:t xml:space="preserve"> </w:t>
      </w:r>
      <w:r w:rsidRPr="004A4A9A">
        <w:rPr>
          <w:rFonts w:cs="Arial"/>
          <w:b/>
          <w:bCs/>
          <w:sz w:val="24"/>
          <w:szCs w:val="24"/>
        </w:rPr>
        <w:t xml:space="preserve">και διαρκεί μέχρι την εξάντληση του </w:t>
      </w:r>
      <w:r w:rsidR="006E7D50">
        <w:rPr>
          <w:rFonts w:cs="Arial"/>
          <w:b/>
          <w:bCs/>
          <w:sz w:val="24"/>
          <w:szCs w:val="24"/>
        </w:rPr>
        <w:t>προϋπολογισμού</w:t>
      </w:r>
      <w:r w:rsidRPr="004A4A9A">
        <w:rPr>
          <w:rFonts w:cs="Arial"/>
          <w:b/>
          <w:bCs/>
          <w:sz w:val="24"/>
          <w:szCs w:val="24"/>
        </w:rPr>
        <w:t>.</w:t>
      </w:r>
    </w:p>
    <w:p w14:paraId="6667D0B7" w14:textId="77777777" w:rsidR="004A4A9A" w:rsidRDefault="004A4A9A" w:rsidP="004A4A9A">
      <w:pPr>
        <w:tabs>
          <w:tab w:val="left" w:pos="780"/>
        </w:tabs>
        <w:spacing w:after="0" w:line="240" w:lineRule="auto"/>
        <w:ind w:right="-23"/>
        <w:jc w:val="both"/>
        <w:rPr>
          <w:rFonts w:cs="Arial"/>
          <w:bCs/>
          <w:sz w:val="24"/>
          <w:szCs w:val="24"/>
        </w:rPr>
      </w:pPr>
    </w:p>
    <w:p w14:paraId="463FE11B" w14:textId="5BE474F5" w:rsidR="004A4A9A" w:rsidRPr="004A4A9A" w:rsidRDefault="004A4A9A" w:rsidP="004A4A9A">
      <w:pPr>
        <w:tabs>
          <w:tab w:val="left" w:pos="780"/>
        </w:tabs>
        <w:spacing w:after="0" w:line="240" w:lineRule="auto"/>
        <w:ind w:right="-23"/>
        <w:jc w:val="both"/>
        <w:rPr>
          <w:rFonts w:cs="Arial"/>
          <w:b/>
          <w:sz w:val="24"/>
          <w:szCs w:val="24"/>
        </w:rPr>
      </w:pPr>
      <w:r w:rsidRPr="004A4A9A">
        <w:rPr>
          <w:rFonts w:cs="Arial"/>
          <w:bCs/>
          <w:sz w:val="24"/>
          <w:szCs w:val="24"/>
        </w:rPr>
        <w:t xml:space="preserve">Η πρόσκληση θα παραμείνει </w:t>
      </w:r>
      <w:r w:rsidRPr="00B10028">
        <w:rPr>
          <w:rFonts w:cs="Arial"/>
          <w:b/>
          <w:sz w:val="24"/>
          <w:szCs w:val="24"/>
        </w:rPr>
        <w:t>ανοιχτή προς υποβολή αιτήσεων μέχρι εξαντλήσεως του διαθέσιμου προϋπολογισμού</w:t>
      </w:r>
      <w:r w:rsidRPr="004A4A9A">
        <w:rPr>
          <w:rFonts w:cs="Arial"/>
          <w:bCs/>
          <w:sz w:val="24"/>
          <w:szCs w:val="24"/>
        </w:rPr>
        <w:t xml:space="preserve"> και θα ακολουθηθεί η διαδικασία της άμεσης αξιολόγησης με βάση την αρχή της χρονικής προτεραιότητας και τους διαθέσιμους πόρους (</w:t>
      </w:r>
      <w:r w:rsidRPr="004A4A9A">
        <w:rPr>
          <w:rFonts w:cs="Arial"/>
          <w:bCs/>
          <w:sz w:val="24"/>
          <w:szCs w:val="24"/>
          <w:lang w:val="en-US"/>
        </w:rPr>
        <w:t>first</w:t>
      </w:r>
      <w:r w:rsidRPr="004A4A9A">
        <w:rPr>
          <w:rFonts w:cs="Arial"/>
          <w:bCs/>
          <w:sz w:val="24"/>
          <w:szCs w:val="24"/>
        </w:rPr>
        <w:t xml:space="preserve"> </w:t>
      </w:r>
      <w:r w:rsidRPr="004A4A9A">
        <w:rPr>
          <w:rFonts w:cs="Arial"/>
          <w:bCs/>
          <w:sz w:val="24"/>
          <w:szCs w:val="24"/>
          <w:lang w:val="en-US"/>
        </w:rPr>
        <w:t>come</w:t>
      </w:r>
      <w:r w:rsidRPr="004A4A9A">
        <w:rPr>
          <w:rFonts w:cs="Arial"/>
          <w:bCs/>
          <w:sz w:val="24"/>
          <w:szCs w:val="24"/>
        </w:rPr>
        <w:t>-</w:t>
      </w:r>
      <w:r w:rsidRPr="004A4A9A">
        <w:rPr>
          <w:rFonts w:cs="Arial"/>
          <w:bCs/>
          <w:sz w:val="24"/>
          <w:szCs w:val="24"/>
          <w:lang w:val="en-US"/>
        </w:rPr>
        <w:t>first</w:t>
      </w:r>
      <w:r w:rsidRPr="004A4A9A">
        <w:rPr>
          <w:rFonts w:cs="Arial"/>
          <w:bCs/>
          <w:sz w:val="24"/>
          <w:szCs w:val="24"/>
        </w:rPr>
        <w:t xml:space="preserve"> </w:t>
      </w:r>
      <w:r w:rsidRPr="004A4A9A">
        <w:rPr>
          <w:rFonts w:cs="Arial"/>
          <w:bCs/>
          <w:sz w:val="24"/>
          <w:szCs w:val="24"/>
          <w:lang w:val="en-US"/>
        </w:rPr>
        <w:t>served</w:t>
      </w:r>
      <w:r w:rsidRPr="004A4A9A">
        <w:rPr>
          <w:rFonts w:cs="Arial"/>
          <w:bCs/>
          <w:sz w:val="24"/>
          <w:szCs w:val="24"/>
        </w:rPr>
        <w:t>).</w:t>
      </w:r>
      <w:r w:rsidRPr="004A4A9A">
        <w:rPr>
          <w:rFonts w:cs="Arial"/>
          <w:b/>
          <w:sz w:val="24"/>
          <w:szCs w:val="24"/>
        </w:rPr>
        <w:t xml:space="preserve"> </w:t>
      </w:r>
    </w:p>
    <w:p w14:paraId="313EE1CC" w14:textId="77777777" w:rsidR="004A4A9A" w:rsidRDefault="004A4A9A" w:rsidP="004A4A9A">
      <w:pPr>
        <w:spacing w:after="0" w:line="240" w:lineRule="auto"/>
        <w:jc w:val="both"/>
        <w:textAlignment w:val="baseline"/>
        <w:rPr>
          <w:rFonts w:cs="Arial"/>
          <w:bCs/>
          <w:sz w:val="24"/>
          <w:szCs w:val="24"/>
        </w:rPr>
      </w:pPr>
    </w:p>
    <w:p w14:paraId="352E3689" w14:textId="37BEE408" w:rsidR="004A4A9A" w:rsidRPr="004A4A9A" w:rsidRDefault="004A4A9A" w:rsidP="004A4A9A">
      <w:pPr>
        <w:spacing w:after="0" w:line="240" w:lineRule="auto"/>
        <w:jc w:val="both"/>
        <w:textAlignment w:val="baseline"/>
        <w:rPr>
          <w:rFonts w:cs="Arial"/>
          <w:bCs/>
          <w:sz w:val="24"/>
          <w:szCs w:val="24"/>
        </w:rPr>
      </w:pPr>
      <w:r w:rsidRPr="004A4A9A">
        <w:rPr>
          <w:rFonts w:cs="Arial"/>
          <w:bCs/>
          <w:sz w:val="24"/>
          <w:szCs w:val="24"/>
        </w:rPr>
        <w:t xml:space="preserve">Η </w:t>
      </w:r>
      <w:r w:rsidRPr="004A4A9A">
        <w:rPr>
          <w:rFonts w:cs="Arial"/>
          <w:b/>
          <w:sz w:val="24"/>
          <w:szCs w:val="24"/>
        </w:rPr>
        <w:t>προθεσμία υλοποίησης</w:t>
      </w:r>
      <w:r w:rsidRPr="004A4A9A">
        <w:rPr>
          <w:rFonts w:cs="Arial"/>
          <w:bCs/>
          <w:sz w:val="24"/>
          <w:szCs w:val="24"/>
        </w:rPr>
        <w:t xml:space="preserve"> των εγκεκριμένων επιχειρηματικών σχεδίων είναι έως την </w:t>
      </w:r>
      <w:r w:rsidRPr="004A4A9A">
        <w:rPr>
          <w:rFonts w:cs="Arial"/>
          <w:b/>
          <w:sz w:val="24"/>
          <w:szCs w:val="24"/>
        </w:rPr>
        <w:t>28</w:t>
      </w:r>
      <w:r w:rsidRPr="004A4A9A">
        <w:rPr>
          <w:rFonts w:cs="Arial"/>
          <w:b/>
          <w:sz w:val="24"/>
          <w:szCs w:val="24"/>
          <w:vertAlign w:val="superscript"/>
        </w:rPr>
        <w:t>η</w:t>
      </w:r>
      <w:r w:rsidRPr="004A4A9A">
        <w:rPr>
          <w:rFonts w:cs="Arial"/>
          <w:b/>
          <w:sz w:val="24"/>
          <w:szCs w:val="24"/>
        </w:rPr>
        <w:t xml:space="preserve"> Φεβρουαρίου 2026</w:t>
      </w:r>
      <w:r w:rsidRPr="004A4A9A">
        <w:rPr>
          <w:rFonts w:cs="Arial"/>
          <w:bCs/>
          <w:sz w:val="24"/>
          <w:szCs w:val="24"/>
        </w:rPr>
        <w:t>.</w:t>
      </w:r>
    </w:p>
    <w:p w14:paraId="6CD3CB9A" w14:textId="77777777" w:rsidR="004A4A9A" w:rsidRPr="004A4A9A" w:rsidRDefault="004A4A9A" w:rsidP="004A4A9A">
      <w:pPr>
        <w:spacing w:after="0" w:line="240" w:lineRule="auto"/>
        <w:jc w:val="both"/>
        <w:textAlignment w:val="baseline"/>
        <w:rPr>
          <w:rFonts w:cs="Arial"/>
          <w:b/>
          <w:bCs/>
          <w:color w:val="000000"/>
          <w:sz w:val="24"/>
          <w:szCs w:val="24"/>
          <w:bdr w:val="none" w:sz="0" w:space="0" w:color="auto" w:frame="1"/>
          <w:lang w:eastAsia="el-GR"/>
        </w:rPr>
      </w:pPr>
    </w:p>
    <w:p w14:paraId="12C8613F" w14:textId="1C9BC591" w:rsidR="004A4A9A" w:rsidRPr="004A4A9A" w:rsidRDefault="004A4A9A" w:rsidP="004A4A9A">
      <w:pPr>
        <w:spacing w:after="0" w:line="240" w:lineRule="auto"/>
        <w:jc w:val="both"/>
        <w:textAlignment w:val="baseline"/>
        <w:rPr>
          <w:rFonts w:cs="Arial"/>
          <w:b/>
          <w:bCs/>
          <w:color w:val="000000"/>
          <w:sz w:val="22"/>
          <w:szCs w:val="22"/>
          <w:bdr w:val="none" w:sz="0" w:space="0" w:color="auto" w:frame="1"/>
          <w:lang w:eastAsia="el-GR"/>
        </w:rPr>
      </w:pPr>
      <w:r w:rsidRPr="004A4A9A">
        <w:rPr>
          <w:rFonts w:cs="Arial"/>
          <w:b/>
          <w:bCs/>
          <w:color w:val="000000"/>
          <w:sz w:val="22"/>
          <w:szCs w:val="22"/>
          <w:bdr w:val="none" w:sz="0" w:space="0" w:color="auto" w:frame="1"/>
          <w:lang w:eastAsia="el-GR"/>
        </w:rPr>
        <w:t>Πιο αναλυτικά:</w:t>
      </w:r>
    </w:p>
    <w:p w14:paraId="05764388" w14:textId="77777777" w:rsidR="004A4A9A" w:rsidRPr="004A4A9A" w:rsidRDefault="004A4A9A" w:rsidP="004A4A9A">
      <w:pPr>
        <w:spacing w:after="0" w:line="240" w:lineRule="auto"/>
        <w:jc w:val="both"/>
        <w:textAlignment w:val="baseline"/>
        <w:rPr>
          <w:rFonts w:cs="Arial"/>
          <w:b/>
          <w:bCs/>
          <w:color w:val="000000"/>
          <w:sz w:val="22"/>
          <w:szCs w:val="22"/>
          <w:bdr w:val="none" w:sz="0" w:space="0" w:color="auto" w:frame="1"/>
          <w:lang w:eastAsia="el-GR"/>
        </w:rPr>
      </w:pPr>
    </w:p>
    <w:p w14:paraId="3BB563A4" w14:textId="77777777" w:rsidR="004A4A9A" w:rsidRPr="004A4A9A" w:rsidRDefault="004A4A9A" w:rsidP="004A4A9A">
      <w:pPr>
        <w:spacing w:after="0" w:line="240" w:lineRule="auto"/>
        <w:rPr>
          <w:rFonts w:eastAsiaTheme="minorHAnsi" w:cs="Arial"/>
          <w:b/>
          <w:bCs/>
          <w:kern w:val="2"/>
          <w:sz w:val="22"/>
          <w:szCs w:val="22"/>
          <w:u w:val="single"/>
        </w:rPr>
      </w:pPr>
      <w:r w:rsidRPr="004A4A9A">
        <w:rPr>
          <w:rFonts w:eastAsiaTheme="minorHAnsi" w:cs="Arial"/>
          <w:b/>
          <w:bCs/>
          <w:kern w:val="2"/>
          <w:sz w:val="22"/>
          <w:szCs w:val="22"/>
          <w:u w:val="single"/>
        </w:rPr>
        <w:t>ΔΥΝΗΤΙΚΟΙ ΔΙΚΑΙΟΥΧΟΙ</w:t>
      </w:r>
    </w:p>
    <w:p w14:paraId="38BC5BA7" w14:textId="77777777" w:rsidR="004A4A9A" w:rsidRPr="004A4A9A" w:rsidRDefault="004A4A9A" w:rsidP="004A4A9A">
      <w:pPr>
        <w:spacing w:after="0" w:line="240" w:lineRule="auto"/>
        <w:jc w:val="both"/>
        <w:rPr>
          <w:rFonts w:eastAsiaTheme="minorHAnsi" w:cs="Arial"/>
          <w:bCs/>
          <w:kern w:val="2"/>
          <w:sz w:val="22"/>
          <w:szCs w:val="22"/>
        </w:rPr>
      </w:pPr>
      <w:r w:rsidRPr="004A4A9A">
        <w:rPr>
          <w:rFonts w:eastAsiaTheme="minorHAnsi" w:cs="Arial"/>
          <w:bCs/>
          <w:kern w:val="2"/>
          <w:sz w:val="22"/>
          <w:szCs w:val="22"/>
        </w:rPr>
        <w:t>Δικαιούχοι του έργου είναι ιδιωτικές επιχειρήσεις, καθώς και Νομικά Πρόσωπα Δημοσίου Δικαίου Κεντρικής Διοίκησης ή Ο.Τ.Α. α’ βαθμού ή οι ίδιοι οι φορείς Κεντρικής Διοίκησης και οι Ο.Τ.Α.,</w:t>
      </w:r>
      <w:r w:rsidRPr="004A4A9A">
        <w:rPr>
          <w:rFonts w:eastAsiaTheme="minorHAnsi" w:cs="Arial"/>
          <w:kern w:val="2"/>
          <w:sz w:val="22"/>
          <w:szCs w:val="22"/>
        </w:rPr>
        <w:t xml:space="preserve"> </w:t>
      </w:r>
      <w:r w:rsidRPr="004A4A9A">
        <w:rPr>
          <w:rFonts w:eastAsiaTheme="minorHAnsi" w:cs="Arial"/>
          <w:bCs/>
          <w:kern w:val="2"/>
          <w:sz w:val="22"/>
          <w:szCs w:val="22"/>
        </w:rPr>
        <w:t>Οργανώσεις Κοινωνίας Πολιτών (</w:t>
      </w:r>
      <w:proofErr w:type="spellStart"/>
      <w:r w:rsidRPr="004A4A9A">
        <w:rPr>
          <w:rFonts w:eastAsiaTheme="minorHAnsi" w:cs="Arial"/>
          <w:bCs/>
          <w:kern w:val="2"/>
          <w:sz w:val="22"/>
          <w:szCs w:val="22"/>
        </w:rPr>
        <w:t>ΟΚοιΠ</w:t>
      </w:r>
      <w:proofErr w:type="spellEnd"/>
      <w:r w:rsidRPr="004A4A9A">
        <w:rPr>
          <w:rFonts w:eastAsiaTheme="minorHAnsi" w:cs="Arial"/>
          <w:bCs/>
          <w:kern w:val="2"/>
          <w:sz w:val="22"/>
          <w:szCs w:val="22"/>
        </w:rPr>
        <w:t xml:space="preserve">) εντός των οποίων ήδη έχουν </w:t>
      </w:r>
      <w:proofErr w:type="spellStart"/>
      <w:r w:rsidRPr="004A4A9A">
        <w:rPr>
          <w:rFonts w:eastAsiaTheme="minorHAnsi" w:cs="Arial"/>
          <w:bCs/>
          <w:kern w:val="2"/>
          <w:sz w:val="22"/>
          <w:szCs w:val="22"/>
        </w:rPr>
        <w:t>αδειοδοτηθεί</w:t>
      </w:r>
      <w:proofErr w:type="spellEnd"/>
      <w:r w:rsidRPr="004A4A9A">
        <w:rPr>
          <w:rFonts w:eastAsiaTheme="minorHAnsi" w:cs="Arial"/>
          <w:bCs/>
          <w:kern w:val="2"/>
          <w:sz w:val="22"/>
          <w:szCs w:val="22"/>
        </w:rPr>
        <w:t xml:space="preserve"> και λειτουργούν ή δύνανται να </w:t>
      </w:r>
      <w:proofErr w:type="spellStart"/>
      <w:r w:rsidRPr="004A4A9A">
        <w:rPr>
          <w:rFonts w:eastAsiaTheme="minorHAnsi" w:cs="Arial"/>
          <w:bCs/>
          <w:kern w:val="2"/>
          <w:sz w:val="22"/>
          <w:szCs w:val="22"/>
        </w:rPr>
        <w:t>αδειοδοτηθούν</w:t>
      </w:r>
      <w:proofErr w:type="spellEnd"/>
      <w:r w:rsidRPr="004A4A9A">
        <w:rPr>
          <w:rFonts w:eastAsiaTheme="minorHAnsi" w:cs="Arial"/>
          <w:bCs/>
          <w:kern w:val="2"/>
          <w:sz w:val="22"/>
          <w:szCs w:val="22"/>
        </w:rPr>
        <w:t xml:space="preserve"> βρεφικοί και βρεφονηπιακοί σταθμοί που υποβάλλουν επενδυτικό σχέδιο (ΕΣ) για την έναρξη/δημιουργία </w:t>
      </w:r>
      <w:r w:rsidRPr="004A4A9A">
        <w:rPr>
          <w:rFonts w:eastAsiaTheme="minorHAnsi" w:cs="Arial"/>
          <w:b/>
          <w:kern w:val="2"/>
          <w:sz w:val="22"/>
          <w:szCs w:val="22"/>
        </w:rPr>
        <w:t>νέου</w:t>
      </w:r>
      <w:r w:rsidRPr="004A4A9A">
        <w:rPr>
          <w:rFonts w:eastAsiaTheme="minorHAnsi" w:cs="Arial"/>
          <w:bCs/>
          <w:kern w:val="2"/>
          <w:sz w:val="22"/>
          <w:szCs w:val="22"/>
        </w:rPr>
        <w:t xml:space="preserve"> κέντρου φροντίδας πρώιμης παιδικής ηλικίας ή </w:t>
      </w:r>
      <w:r w:rsidRPr="004A4A9A">
        <w:rPr>
          <w:rFonts w:eastAsiaTheme="minorHAnsi" w:cs="Arial"/>
          <w:b/>
          <w:kern w:val="2"/>
          <w:sz w:val="22"/>
          <w:szCs w:val="22"/>
        </w:rPr>
        <w:t>νέων θέσεων σε υφιστάμενο</w:t>
      </w:r>
      <w:r w:rsidRPr="004A4A9A">
        <w:rPr>
          <w:rFonts w:eastAsiaTheme="minorHAnsi" w:cs="Arial"/>
          <w:bCs/>
          <w:kern w:val="2"/>
          <w:sz w:val="22"/>
          <w:szCs w:val="22"/>
        </w:rPr>
        <w:t xml:space="preserve"> κέντρο φροντίδας για βρέφη από 2 μηνών έως 2,5 ετών.</w:t>
      </w:r>
    </w:p>
    <w:p w14:paraId="2D14DDAD" w14:textId="77777777" w:rsidR="004A4A9A" w:rsidRPr="00B10028" w:rsidRDefault="004A4A9A" w:rsidP="004A4A9A">
      <w:pPr>
        <w:spacing w:after="0" w:line="240" w:lineRule="auto"/>
        <w:jc w:val="both"/>
        <w:rPr>
          <w:rFonts w:eastAsiaTheme="minorHAnsi" w:cs="Arial"/>
          <w:bCs/>
          <w:kern w:val="2"/>
          <w:sz w:val="22"/>
          <w:szCs w:val="22"/>
        </w:rPr>
      </w:pPr>
      <w:r w:rsidRPr="004A4A9A">
        <w:rPr>
          <w:rFonts w:eastAsiaTheme="minorHAnsi" w:cs="Arial"/>
          <w:bCs/>
          <w:kern w:val="2"/>
          <w:sz w:val="22"/>
          <w:szCs w:val="22"/>
        </w:rPr>
        <w:t xml:space="preserve">Στο πλαίσιο του Έργου οι δυνητικοί δικαιούχοι που ανήκουν στην κατηγορία των ιδιωτικών επιχειρήσεων θα πρέπει να διαθέτουν τον επιλέξιμο </w:t>
      </w:r>
      <w:r w:rsidRPr="004A4A9A">
        <w:rPr>
          <w:rFonts w:eastAsiaTheme="minorHAnsi" w:cs="Arial"/>
          <w:b/>
          <w:kern w:val="2"/>
          <w:sz w:val="22"/>
          <w:szCs w:val="22"/>
        </w:rPr>
        <w:t>ΚΑΔ: 88.91 Δραστηριότητες βρεφονηπιακών και παιδικών σταθμών,</w:t>
      </w:r>
      <w:r w:rsidRPr="004A4A9A">
        <w:rPr>
          <w:rFonts w:eastAsiaTheme="minorHAnsi" w:cs="Arial"/>
          <w:bCs/>
          <w:kern w:val="2"/>
          <w:sz w:val="22"/>
          <w:szCs w:val="22"/>
        </w:rPr>
        <w:t xml:space="preserve"> πριν την υποβολή της αίτησης χρηματοδότησης. Στις λοιπές περιπτώσεις ο ΚΑΔ  88.91 δεν απαιτείται να είναι ενεργός για την υποβολή της αίτησης χρηματοδότησης και την συμμετοχή στο πρόγραμμα.</w:t>
      </w:r>
    </w:p>
    <w:p w14:paraId="0DBF29A7" w14:textId="77777777" w:rsidR="004A4A9A" w:rsidRPr="004A4A9A" w:rsidRDefault="004A4A9A" w:rsidP="004A4A9A">
      <w:pPr>
        <w:spacing w:after="0" w:line="240" w:lineRule="auto"/>
        <w:jc w:val="both"/>
        <w:rPr>
          <w:rFonts w:eastAsiaTheme="minorHAnsi" w:cs="Arial"/>
          <w:bCs/>
          <w:kern w:val="2"/>
          <w:sz w:val="22"/>
          <w:szCs w:val="22"/>
        </w:rPr>
      </w:pPr>
    </w:p>
    <w:p w14:paraId="1488FEAE" w14:textId="77777777" w:rsidR="004A4A9A" w:rsidRPr="004A4A9A" w:rsidRDefault="004A4A9A" w:rsidP="004A4A9A">
      <w:pPr>
        <w:spacing w:after="0" w:line="240" w:lineRule="auto"/>
        <w:rPr>
          <w:rFonts w:eastAsiaTheme="minorHAnsi" w:cs="Arial"/>
          <w:b/>
          <w:bCs/>
          <w:kern w:val="2"/>
          <w:sz w:val="22"/>
          <w:szCs w:val="22"/>
          <w:u w:val="single"/>
        </w:rPr>
      </w:pPr>
      <w:r w:rsidRPr="004A4A9A">
        <w:rPr>
          <w:rFonts w:eastAsiaTheme="minorHAnsi" w:cs="Arial"/>
          <w:b/>
          <w:bCs/>
          <w:kern w:val="2"/>
          <w:sz w:val="22"/>
          <w:szCs w:val="22"/>
          <w:u w:val="single"/>
        </w:rPr>
        <w:t>ΔΙΑΔΙΚΑΣΙΑ ΥΠΟΒΟΛΗΣ ΑΙΤΗΣΗΣ ΧΡΗΜΑΤΟΔΟΤΗΣΗΣ</w:t>
      </w:r>
    </w:p>
    <w:p w14:paraId="669F21F7" w14:textId="77777777" w:rsidR="004A4A9A" w:rsidRPr="004A4A9A" w:rsidRDefault="004A4A9A" w:rsidP="004A4A9A">
      <w:pPr>
        <w:spacing w:after="0" w:line="240" w:lineRule="auto"/>
        <w:jc w:val="both"/>
        <w:rPr>
          <w:rFonts w:eastAsiaTheme="minorHAnsi" w:cs="Arial"/>
          <w:bCs/>
          <w:color w:val="0563C1" w:themeColor="hyperlink"/>
          <w:kern w:val="2"/>
          <w:sz w:val="22"/>
          <w:szCs w:val="22"/>
          <w:u w:val="single"/>
        </w:rPr>
      </w:pPr>
      <w:r w:rsidRPr="004A4A9A">
        <w:rPr>
          <w:rFonts w:eastAsiaTheme="minorHAnsi" w:cs="Arial"/>
          <w:bCs/>
          <w:kern w:val="2"/>
          <w:sz w:val="22"/>
          <w:szCs w:val="22"/>
        </w:rPr>
        <w:t xml:space="preserve">Οι αιτήσεις των ενδιαφερομένων για συμμετοχή στο Έργο υποβάλλονται </w:t>
      </w:r>
      <w:r w:rsidRPr="004A4A9A">
        <w:rPr>
          <w:rFonts w:eastAsiaTheme="minorHAnsi" w:cs="Arial"/>
          <w:b/>
          <w:kern w:val="2"/>
          <w:sz w:val="22"/>
          <w:szCs w:val="22"/>
        </w:rPr>
        <w:t>ΑΠΟΚΛΕΙΣΤΙΚΑ</w:t>
      </w:r>
      <w:r w:rsidRPr="004A4A9A">
        <w:rPr>
          <w:rFonts w:eastAsiaTheme="minorHAnsi" w:cs="Arial"/>
          <w:bCs/>
          <w:kern w:val="2"/>
          <w:sz w:val="22"/>
          <w:szCs w:val="22"/>
        </w:rPr>
        <w:t xml:space="preserve"> </w:t>
      </w:r>
      <w:r w:rsidRPr="004A4A9A">
        <w:rPr>
          <w:rFonts w:eastAsiaTheme="minorHAnsi" w:cs="Arial"/>
          <w:b/>
          <w:kern w:val="2"/>
          <w:sz w:val="22"/>
          <w:szCs w:val="22"/>
          <w:u w:val="single"/>
        </w:rPr>
        <w:t>ηλεκτρονικά</w:t>
      </w:r>
      <w:r w:rsidRPr="004A4A9A">
        <w:rPr>
          <w:rFonts w:eastAsiaTheme="minorHAnsi" w:cs="Arial"/>
          <w:bCs/>
          <w:kern w:val="2"/>
          <w:sz w:val="22"/>
          <w:szCs w:val="22"/>
        </w:rPr>
        <w:t xml:space="preserve"> από τους υποψηφίους Δικαιούχους μέσω ειδικής πλατφόρμας του Πληροφοριακού Συστήματος, που τηρεί και διαχειρίζεται ο Φορέας Υλοποίησης, στην ηλεκτρονική διεύθυνση </w:t>
      </w:r>
      <w:hyperlink r:id="rId11" w:history="1">
        <w:r w:rsidRPr="004A4A9A">
          <w:rPr>
            <w:rFonts w:eastAsiaTheme="minorHAnsi" w:cs="Arial"/>
            <w:bCs/>
            <w:color w:val="0563C1" w:themeColor="hyperlink"/>
            <w:kern w:val="2"/>
            <w:sz w:val="22"/>
            <w:szCs w:val="22"/>
            <w:u w:val="single"/>
          </w:rPr>
          <w:t xml:space="preserve"> </w:t>
        </w:r>
        <w:bookmarkStart w:id="0" w:name="_Hlk185514617"/>
        <w:r w:rsidRPr="004A4A9A">
          <w:rPr>
            <w:rFonts w:eastAsiaTheme="minorHAnsi" w:cs="Arial"/>
            <w:bCs/>
            <w:color w:val="0563C1" w:themeColor="hyperlink"/>
            <w:kern w:val="2"/>
            <w:sz w:val="22"/>
            <w:szCs w:val="22"/>
            <w:u w:val="single"/>
          </w:rPr>
          <w:t>vns-2-0.tee.gov.gr</w:t>
        </w:r>
        <w:bookmarkEnd w:id="0"/>
      </w:hyperlink>
    </w:p>
    <w:p w14:paraId="13DC0A55" w14:textId="77777777" w:rsidR="004A4A9A" w:rsidRPr="004A4A9A" w:rsidRDefault="004A4A9A" w:rsidP="004A4A9A">
      <w:pPr>
        <w:spacing w:after="0" w:line="240" w:lineRule="auto"/>
        <w:jc w:val="both"/>
        <w:rPr>
          <w:rFonts w:eastAsiaTheme="minorHAnsi" w:cs="Arial"/>
          <w:bCs/>
          <w:kern w:val="2"/>
          <w:sz w:val="22"/>
          <w:szCs w:val="22"/>
        </w:rPr>
      </w:pPr>
    </w:p>
    <w:p w14:paraId="01E6E8E3" w14:textId="77777777" w:rsidR="004A4A9A" w:rsidRPr="004A4A9A" w:rsidRDefault="004A4A9A" w:rsidP="004A4A9A">
      <w:pPr>
        <w:spacing w:after="0" w:line="240" w:lineRule="auto"/>
        <w:jc w:val="both"/>
        <w:rPr>
          <w:rFonts w:eastAsiaTheme="minorHAnsi" w:cs="Arial"/>
          <w:b/>
          <w:bCs/>
          <w:kern w:val="2"/>
          <w:sz w:val="22"/>
          <w:szCs w:val="22"/>
          <w:u w:val="single"/>
        </w:rPr>
      </w:pPr>
      <w:r w:rsidRPr="004A4A9A">
        <w:rPr>
          <w:rFonts w:eastAsiaTheme="minorHAnsi" w:cs="Arial"/>
          <w:b/>
          <w:bCs/>
          <w:kern w:val="2"/>
          <w:sz w:val="22"/>
          <w:szCs w:val="22"/>
          <w:u w:val="single"/>
        </w:rPr>
        <w:t>ΕΠΙΛΕΞΙΜΕΣ ΔΑΠΑΝΕΣ</w:t>
      </w:r>
    </w:p>
    <w:p w14:paraId="1280EC03" w14:textId="77777777" w:rsidR="004A4A9A" w:rsidRPr="004A4A9A" w:rsidRDefault="004A4A9A" w:rsidP="004A4A9A">
      <w:pPr>
        <w:spacing w:after="0" w:line="240" w:lineRule="auto"/>
        <w:ind w:right="98"/>
        <w:jc w:val="both"/>
        <w:rPr>
          <w:rFonts w:eastAsia="Calibri" w:cs="Arial"/>
          <w:kern w:val="2"/>
          <w:sz w:val="22"/>
          <w:szCs w:val="22"/>
        </w:rPr>
      </w:pPr>
      <w:r w:rsidRPr="004A4A9A">
        <w:rPr>
          <w:rFonts w:eastAsia="Calibri" w:cs="Arial"/>
          <w:kern w:val="2"/>
          <w:sz w:val="22"/>
          <w:szCs w:val="22"/>
        </w:rPr>
        <w:t>Επιλέξιμες</w:t>
      </w:r>
      <w:r w:rsidRPr="004A4A9A">
        <w:rPr>
          <w:rFonts w:eastAsia="Calibri" w:cs="Arial"/>
          <w:spacing w:val="31"/>
          <w:kern w:val="2"/>
          <w:sz w:val="22"/>
          <w:szCs w:val="22"/>
        </w:rPr>
        <w:t xml:space="preserve"> </w:t>
      </w:r>
      <w:r w:rsidRPr="004A4A9A">
        <w:rPr>
          <w:rFonts w:eastAsia="Calibri" w:cs="Arial"/>
          <w:kern w:val="2"/>
          <w:sz w:val="22"/>
          <w:szCs w:val="22"/>
        </w:rPr>
        <w:t>προς</w:t>
      </w:r>
      <w:r w:rsidRPr="004A4A9A">
        <w:rPr>
          <w:rFonts w:eastAsia="Calibri" w:cs="Arial"/>
          <w:spacing w:val="32"/>
          <w:kern w:val="2"/>
          <w:sz w:val="22"/>
          <w:szCs w:val="22"/>
        </w:rPr>
        <w:t xml:space="preserve"> </w:t>
      </w:r>
      <w:r w:rsidRPr="004A4A9A">
        <w:rPr>
          <w:rFonts w:eastAsia="Calibri" w:cs="Arial"/>
          <w:kern w:val="2"/>
          <w:sz w:val="22"/>
          <w:szCs w:val="22"/>
        </w:rPr>
        <w:t>χρηματοδότηση</w:t>
      </w:r>
      <w:r w:rsidRPr="004A4A9A">
        <w:rPr>
          <w:rFonts w:eastAsia="Calibri" w:cs="Arial"/>
          <w:spacing w:val="32"/>
          <w:kern w:val="2"/>
          <w:sz w:val="22"/>
          <w:szCs w:val="22"/>
        </w:rPr>
        <w:t xml:space="preserve"> </w:t>
      </w:r>
      <w:r w:rsidRPr="004A4A9A">
        <w:rPr>
          <w:rFonts w:eastAsia="Calibri" w:cs="Arial"/>
          <w:kern w:val="2"/>
          <w:sz w:val="22"/>
          <w:szCs w:val="22"/>
        </w:rPr>
        <w:t>από</w:t>
      </w:r>
      <w:r w:rsidRPr="004A4A9A">
        <w:rPr>
          <w:rFonts w:eastAsia="Calibri" w:cs="Arial"/>
          <w:spacing w:val="32"/>
          <w:kern w:val="2"/>
          <w:sz w:val="22"/>
          <w:szCs w:val="22"/>
        </w:rPr>
        <w:t xml:space="preserve"> </w:t>
      </w:r>
      <w:r w:rsidRPr="004A4A9A">
        <w:rPr>
          <w:rFonts w:eastAsia="Calibri" w:cs="Arial"/>
          <w:kern w:val="2"/>
          <w:sz w:val="22"/>
          <w:szCs w:val="22"/>
        </w:rPr>
        <w:t>το Έργο</w:t>
      </w:r>
      <w:r w:rsidRPr="004A4A9A">
        <w:rPr>
          <w:rFonts w:eastAsia="Calibri" w:cs="Arial"/>
          <w:spacing w:val="8"/>
          <w:kern w:val="2"/>
          <w:sz w:val="22"/>
          <w:szCs w:val="22"/>
        </w:rPr>
        <w:t xml:space="preserve"> </w:t>
      </w:r>
      <w:r w:rsidRPr="004A4A9A">
        <w:rPr>
          <w:rFonts w:eastAsia="Calibri" w:cs="Arial"/>
          <w:kern w:val="2"/>
          <w:sz w:val="22"/>
          <w:szCs w:val="22"/>
        </w:rPr>
        <w:t>είναι</w:t>
      </w:r>
      <w:r w:rsidRPr="004A4A9A">
        <w:rPr>
          <w:rFonts w:eastAsia="Calibri" w:cs="Arial"/>
          <w:spacing w:val="6"/>
          <w:kern w:val="2"/>
          <w:sz w:val="22"/>
          <w:szCs w:val="22"/>
        </w:rPr>
        <w:t xml:space="preserve"> </w:t>
      </w:r>
      <w:r w:rsidRPr="004A4A9A">
        <w:rPr>
          <w:rFonts w:eastAsia="Calibri" w:cs="Arial"/>
          <w:kern w:val="2"/>
          <w:sz w:val="22"/>
          <w:szCs w:val="22"/>
        </w:rPr>
        <w:t>οι</w:t>
      </w:r>
      <w:r w:rsidRPr="004A4A9A">
        <w:rPr>
          <w:rFonts w:eastAsia="Calibri" w:cs="Arial"/>
          <w:spacing w:val="6"/>
          <w:kern w:val="2"/>
          <w:sz w:val="22"/>
          <w:szCs w:val="22"/>
        </w:rPr>
        <w:t xml:space="preserve"> </w:t>
      </w:r>
      <w:r w:rsidRPr="004A4A9A">
        <w:rPr>
          <w:rFonts w:eastAsia="Calibri" w:cs="Arial"/>
          <w:kern w:val="2"/>
          <w:sz w:val="22"/>
          <w:szCs w:val="22"/>
        </w:rPr>
        <w:t>δαπάνες</w:t>
      </w:r>
      <w:r w:rsidRPr="004A4A9A">
        <w:rPr>
          <w:rFonts w:eastAsia="Calibri" w:cs="Arial"/>
          <w:spacing w:val="6"/>
          <w:kern w:val="2"/>
          <w:sz w:val="22"/>
          <w:szCs w:val="22"/>
        </w:rPr>
        <w:t xml:space="preserve"> </w:t>
      </w:r>
      <w:r w:rsidRPr="004A4A9A">
        <w:rPr>
          <w:rFonts w:eastAsia="Calibri" w:cs="Arial"/>
          <w:kern w:val="2"/>
          <w:sz w:val="22"/>
          <w:szCs w:val="22"/>
        </w:rPr>
        <w:t>που</w:t>
      </w:r>
      <w:r w:rsidRPr="004A4A9A">
        <w:rPr>
          <w:rFonts w:eastAsia="Calibri" w:cs="Arial"/>
          <w:spacing w:val="6"/>
          <w:kern w:val="2"/>
          <w:sz w:val="22"/>
          <w:szCs w:val="22"/>
        </w:rPr>
        <w:t xml:space="preserve"> </w:t>
      </w:r>
      <w:r w:rsidRPr="004A4A9A">
        <w:rPr>
          <w:rFonts w:eastAsia="Calibri" w:cs="Arial"/>
          <w:kern w:val="2"/>
          <w:sz w:val="22"/>
          <w:szCs w:val="22"/>
        </w:rPr>
        <w:t>στοχεύουν</w:t>
      </w:r>
      <w:r w:rsidRPr="004A4A9A">
        <w:rPr>
          <w:rFonts w:eastAsia="Calibri" w:cs="Arial"/>
          <w:spacing w:val="6"/>
          <w:kern w:val="2"/>
          <w:sz w:val="22"/>
          <w:szCs w:val="22"/>
        </w:rPr>
        <w:t xml:space="preserve"> </w:t>
      </w:r>
      <w:r w:rsidRPr="004A4A9A">
        <w:rPr>
          <w:rFonts w:eastAsia="Calibri" w:cs="Arial"/>
          <w:kern w:val="2"/>
          <w:sz w:val="22"/>
          <w:szCs w:val="22"/>
        </w:rPr>
        <w:t>στον</w:t>
      </w:r>
      <w:r w:rsidRPr="004A4A9A">
        <w:rPr>
          <w:rFonts w:eastAsia="Calibri" w:cs="Arial"/>
          <w:spacing w:val="6"/>
          <w:kern w:val="2"/>
          <w:sz w:val="22"/>
          <w:szCs w:val="22"/>
        </w:rPr>
        <w:t xml:space="preserve"> </w:t>
      </w:r>
      <w:r w:rsidRPr="004A4A9A">
        <w:rPr>
          <w:rFonts w:eastAsia="Calibri" w:cs="Arial"/>
          <w:kern w:val="2"/>
          <w:sz w:val="22"/>
          <w:szCs w:val="22"/>
        </w:rPr>
        <w:t>σχεδιασμό, τη</w:t>
      </w:r>
      <w:r w:rsidRPr="004A4A9A">
        <w:rPr>
          <w:rFonts w:eastAsia="Calibri" w:cs="Arial"/>
          <w:spacing w:val="1"/>
          <w:kern w:val="2"/>
          <w:sz w:val="22"/>
          <w:szCs w:val="22"/>
        </w:rPr>
        <w:t xml:space="preserve"> </w:t>
      </w:r>
      <w:r w:rsidRPr="004A4A9A">
        <w:rPr>
          <w:rFonts w:eastAsia="Calibri" w:cs="Arial"/>
          <w:kern w:val="2"/>
          <w:sz w:val="22"/>
          <w:szCs w:val="22"/>
        </w:rPr>
        <w:t>διαμόρφωση, τον</w:t>
      </w:r>
      <w:r w:rsidRPr="004A4A9A">
        <w:rPr>
          <w:rFonts w:eastAsia="Calibri" w:cs="Arial"/>
          <w:spacing w:val="1"/>
          <w:kern w:val="2"/>
          <w:sz w:val="22"/>
          <w:szCs w:val="22"/>
        </w:rPr>
        <w:t xml:space="preserve"> </w:t>
      </w:r>
      <w:r w:rsidRPr="004A4A9A">
        <w:rPr>
          <w:rFonts w:eastAsia="Calibri" w:cs="Arial"/>
          <w:kern w:val="2"/>
          <w:sz w:val="22"/>
          <w:szCs w:val="22"/>
        </w:rPr>
        <w:t>εξοπλισμό</w:t>
      </w:r>
      <w:r w:rsidRPr="004A4A9A">
        <w:rPr>
          <w:rFonts w:eastAsia="Calibri" w:cs="Arial"/>
          <w:spacing w:val="1"/>
          <w:kern w:val="2"/>
          <w:sz w:val="22"/>
          <w:szCs w:val="22"/>
        </w:rPr>
        <w:t xml:space="preserve"> </w:t>
      </w:r>
      <w:r w:rsidRPr="004A4A9A">
        <w:rPr>
          <w:rFonts w:eastAsia="Calibri" w:cs="Arial"/>
          <w:b/>
          <w:bCs/>
          <w:kern w:val="2"/>
          <w:sz w:val="22"/>
          <w:szCs w:val="22"/>
        </w:rPr>
        <w:t>νέων</w:t>
      </w:r>
      <w:r w:rsidRPr="004A4A9A">
        <w:rPr>
          <w:rFonts w:eastAsia="Calibri" w:cs="Arial"/>
          <w:kern w:val="2"/>
          <w:sz w:val="22"/>
          <w:szCs w:val="22"/>
        </w:rPr>
        <w:t xml:space="preserve"> </w:t>
      </w:r>
      <w:r w:rsidRPr="004A4A9A">
        <w:rPr>
          <w:rFonts w:eastAsia="Calibri" w:cs="Arial"/>
          <w:b/>
          <w:bCs/>
          <w:kern w:val="2"/>
          <w:sz w:val="22"/>
          <w:szCs w:val="22"/>
        </w:rPr>
        <w:t>κέντρων φροντίδας</w:t>
      </w:r>
      <w:r w:rsidRPr="004A4A9A">
        <w:rPr>
          <w:rFonts w:eastAsia="Calibri" w:cs="Arial"/>
          <w:kern w:val="2"/>
          <w:sz w:val="22"/>
          <w:szCs w:val="22"/>
        </w:rPr>
        <w:t xml:space="preserve"> πρώιμης παιδικής ηλικίας ή </w:t>
      </w:r>
      <w:r w:rsidRPr="004A4A9A">
        <w:rPr>
          <w:rFonts w:eastAsia="Calibri" w:cs="Arial"/>
          <w:b/>
          <w:bCs/>
          <w:kern w:val="2"/>
          <w:sz w:val="22"/>
          <w:szCs w:val="22"/>
        </w:rPr>
        <w:t>για τη δημιουργία νέων θέσεων σε υπάρχοντα κέντρα φροντίδας</w:t>
      </w:r>
      <w:r w:rsidRPr="004A4A9A">
        <w:rPr>
          <w:rFonts w:eastAsia="Calibri" w:cs="Arial"/>
          <w:kern w:val="2"/>
          <w:sz w:val="22"/>
          <w:szCs w:val="22"/>
        </w:rPr>
        <w:t xml:space="preserve"> για βρέφη από 2 μηνών έως 2,5 ετών (παιδικά κέντρα).</w:t>
      </w:r>
    </w:p>
    <w:p w14:paraId="76EAF49F" w14:textId="77777777" w:rsidR="004A4A9A" w:rsidRPr="004A4A9A" w:rsidRDefault="004A4A9A" w:rsidP="004A4A9A">
      <w:pPr>
        <w:spacing w:after="0" w:line="240" w:lineRule="auto"/>
        <w:ind w:right="98"/>
        <w:jc w:val="both"/>
        <w:rPr>
          <w:rFonts w:eastAsia="Calibri" w:cs="Arial"/>
          <w:kern w:val="2"/>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2"/>
        <w:gridCol w:w="2112"/>
        <w:gridCol w:w="5738"/>
      </w:tblGrid>
      <w:tr w:rsidR="004A4A9A" w:rsidRPr="004A4A9A" w14:paraId="785B6008" w14:textId="77777777" w:rsidTr="00CD37B1">
        <w:trPr>
          <w:trHeight w:val="235"/>
          <w:jc w:val="center"/>
        </w:trPr>
        <w:tc>
          <w:tcPr>
            <w:tcW w:w="316" w:type="pct"/>
            <w:vAlign w:val="center"/>
          </w:tcPr>
          <w:p w14:paraId="2EB77E2F" w14:textId="77777777" w:rsidR="004A4A9A" w:rsidRPr="004A4A9A" w:rsidRDefault="004A4A9A" w:rsidP="004A4A9A">
            <w:pPr>
              <w:spacing w:after="0" w:line="240" w:lineRule="auto"/>
              <w:jc w:val="center"/>
              <w:rPr>
                <w:rFonts w:eastAsiaTheme="minorHAnsi" w:cs="Arial"/>
                <w:bCs/>
                <w:kern w:val="2"/>
                <w:sz w:val="22"/>
                <w:szCs w:val="22"/>
              </w:rPr>
            </w:pPr>
            <w:bookmarkStart w:id="1" w:name="_Hlk162614012"/>
            <w:r w:rsidRPr="004A4A9A">
              <w:rPr>
                <w:rFonts w:eastAsiaTheme="minorHAnsi" w:cs="Arial"/>
                <w:bCs/>
                <w:kern w:val="2"/>
                <w:sz w:val="22"/>
                <w:szCs w:val="22"/>
              </w:rPr>
              <w:t>Α/Α</w:t>
            </w:r>
          </w:p>
        </w:tc>
        <w:tc>
          <w:tcPr>
            <w:tcW w:w="1184" w:type="pct"/>
            <w:vAlign w:val="center"/>
          </w:tcPr>
          <w:p w14:paraId="5070A5D1"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Theme="minorHAnsi" w:cs="Arial"/>
                <w:bCs/>
                <w:kern w:val="2"/>
                <w:sz w:val="22"/>
                <w:szCs w:val="22"/>
              </w:rPr>
              <w:t>ΚΑΤΗΓΟΡΙΑ ∆ΑΠΑΝΗΣ</w:t>
            </w:r>
          </w:p>
        </w:tc>
        <w:tc>
          <w:tcPr>
            <w:tcW w:w="3500" w:type="pct"/>
            <w:vAlign w:val="center"/>
          </w:tcPr>
          <w:p w14:paraId="0C962D7A"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Theme="minorHAnsi" w:cs="Arial"/>
                <w:bCs/>
                <w:kern w:val="2"/>
                <w:sz w:val="22"/>
                <w:szCs w:val="22"/>
              </w:rPr>
              <w:t>ΕΠΙΛΕΞΙΜΕΣ ΕΝΕΡΓΕΙΕΣ</w:t>
            </w:r>
          </w:p>
        </w:tc>
      </w:tr>
      <w:tr w:rsidR="004A4A9A" w:rsidRPr="004A4A9A" w14:paraId="5DCB8735" w14:textId="77777777" w:rsidTr="00CD37B1">
        <w:trPr>
          <w:trHeight w:val="1175"/>
          <w:jc w:val="center"/>
        </w:trPr>
        <w:tc>
          <w:tcPr>
            <w:tcW w:w="316" w:type="pct"/>
            <w:vAlign w:val="center"/>
          </w:tcPr>
          <w:p w14:paraId="64801461"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Theme="minorHAnsi" w:cs="Arial"/>
                <w:bCs/>
                <w:kern w:val="2"/>
                <w:sz w:val="22"/>
                <w:szCs w:val="22"/>
              </w:rPr>
              <w:t>1.</w:t>
            </w:r>
          </w:p>
        </w:tc>
        <w:tc>
          <w:tcPr>
            <w:tcW w:w="1184" w:type="pct"/>
            <w:vAlign w:val="center"/>
          </w:tcPr>
          <w:p w14:paraId="209AC8A6"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Calibri" w:cs="Arial"/>
                <w:bCs/>
                <w:kern w:val="2"/>
                <w:sz w:val="22"/>
                <w:szCs w:val="22"/>
              </w:rPr>
              <w:t>Κτιριακές υποδομές και διαμόρφωση εξωτερικού χώρου</w:t>
            </w:r>
          </w:p>
        </w:tc>
        <w:tc>
          <w:tcPr>
            <w:tcW w:w="3500" w:type="pct"/>
            <w:vAlign w:val="center"/>
          </w:tcPr>
          <w:p w14:paraId="6D1041FF" w14:textId="77777777" w:rsidR="004A4A9A" w:rsidRPr="004A4A9A" w:rsidRDefault="004A4A9A" w:rsidP="004A4A9A">
            <w:pPr>
              <w:autoSpaceDE w:val="0"/>
              <w:autoSpaceDN w:val="0"/>
              <w:adjustRightInd w:val="0"/>
              <w:spacing w:after="0" w:line="240" w:lineRule="auto"/>
              <w:ind w:left="174"/>
              <w:jc w:val="center"/>
              <w:rPr>
                <w:rFonts w:eastAsia="Calibri" w:cs="Arial"/>
                <w:bCs/>
                <w:color w:val="000000"/>
                <w:sz w:val="22"/>
                <w:szCs w:val="22"/>
              </w:rPr>
            </w:pPr>
            <w:r w:rsidRPr="004A4A9A">
              <w:rPr>
                <w:rFonts w:eastAsia="Calibri" w:cs="Arial"/>
                <w:bCs/>
                <w:color w:val="000000"/>
                <w:sz w:val="22"/>
                <w:szCs w:val="22"/>
              </w:rPr>
              <w:t>1.1 Παρεμβάσεις επί του κτιρίου και του περιβάλλοντα χώρου για εξοικονόμηση ενέργειας</w:t>
            </w:r>
          </w:p>
          <w:p w14:paraId="23C0CE99" w14:textId="77777777" w:rsidR="004A4A9A" w:rsidRPr="004A4A9A" w:rsidRDefault="004A4A9A" w:rsidP="004A4A9A">
            <w:pPr>
              <w:autoSpaceDE w:val="0"/>
              <w:autoSpaceDN w:val="0"/>
              <w:adjustRightInd w:val="0"/>
              <w:spacing w:after="0" w:line="240" w:lineRule="auto"/>
              <w:ind w:left="174"/>
              <w:jc w:val="center"/>
              <w:rPr>
                <w:rFonts w:eastAsia="Calibri" w:cs="Arial"/>
                <w:bCs/>
                <w:color w:val="000000"/>
                <w:sz w:val="22"/>
                <w:szCs w:val="22"/>
              </w:rPr>
            </w:pPr>
            <w:r w:rsidRPr="004A4A9A">
              <w:rPr>
                <w:rFonts w:eastAsia="Calibri" w:cs="Arial"/>
                <w:bCs/>
                <w:color w:val="000000"/>
                <w:sz w:val="22"/>
                <w:szCs w:val="22"/>
              </w:rPr>
              <w:t>1.2 Παρεμβάσεις επί του κτιρίου και του περιβάλλοντα χώρου για αναβάθμιση της υγιεινής και ασφάλειας.</w:t>
            </w:r>
          </w:p>
          <w:p w14:paraId="36C279E8" w14:textId="77777777" w:rsidR="004A4A9A" w:rsidRPr="004A4A9A" w:rsidRDefault="004A4A9A" w:rsidP="004A4A9A">
            <w:pPr>
              <w:autoSpaceDE w:val="0"/>
              <w:autoSpaceDN w:val="0"/>
              <w:adjustRightInd w:val="0"/>
              <w:spacing w:after="0" w:line="240" w:lineRule="auto"/>
              <w:ind w:left="174"/>
              <w:jc w:val="center"/>
              <w:rPr>
                <w:rFonts w:eastAsia="Calibri" w:cs="Arial"/>
                <w:bCs/>
                <w:color w:val="000000"/>
                <w:sz w:val="22"/>
                <w:szCs w:val="22"/>
              </w:rPr>
            </w:pPr>
            <w:r w:rsidRPr="004A4A9A">
              <w:rPr>
                <w:rFonts w:eastAsia="Calibri" w:cs="Arial"/>
                <w:bCs/>
                <w:color w:val="000000"/>
                <w:sz w:val="22"/>
                <w:szCs w:val="22"/>
              </w:rPr>
              <w:t xml:space="preserve">1.3 Παρεμβάσεις επί του κτιρίου και του περιβάλλοντα χώρου για διευκόλυνση </w:t>
            </w:r>
            <w:proofErr w:type="spellStart"/>
            <w:r w:rsidRPr="004A4A9A">
              <w:rPr>
                <w:rFonts w:eastAsia="Calibri" w:cs="Arial"/>
                <w:bCs/>
                <w:color w:val="000000"/>
                <w:sz w:val="22"/>
                <w:szCs w:val="22"/>
              </w:rPr>
              <w:t>ΑμΕΑ</w:t>
            </w:r>
            <w:proofErr w:type="spellEnd"/>
            <w:r w:rsidRPr="004A4A9A">
              <w:rPr>
                <w:rFonts w:eastAsia="Calibri" w:cs="Arial"/>
                <w:bCs/>
                <w:color w:val="000000"/>
                <w:sz w:val="22"/>
                <w:szCs w:val="22"/>
              </w:rPr>
              <w:t>.</w:t>
            </w:r>
          </w:p>
        </w:tc>
      </w:tr>
      <w:tr w:rsidR="004A4A9A" w:rsidRPr="004A4A9A" w14:paraId="7448B923" w14:textId="77777777" w:rsidTr="00CD37B1">
        <w:trPr>
          <w:trHeight w:val="1643"/>
          <w:jc w:val="center"/>
        </w:trPr>
        <w:tc>
          <w:tcPr>
            <w:tcW w:w="316" w:type="pct"/>
            <w:vAlign w:val="center"/>
          </w:tcPr>
          <w:p w14:paraId="640ED27F"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Theme="minorHAnsi" w:cs="Arial"/>
                <w:bCs/>
                <w:kern w:val="2"/>
                <w:sz w:val="22"/>
                <w:szCs w:val="22"/>
              </w:rPr>
              <w:lastRenderedPageBreak/>
              <w:t>2.</w:t>
            </w:r>
          </w:p>
        </w:tc>
        <w:tc>
          <w:tcPr>
            <w:tcW w:w="1184" w:type="pct"/>
            <w:vAlign w:val="center"/>
          </w:tcPr>
          <w:p w14:paraId="27AE2E9A"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Calibri" w:cs="Arial"/>
                <w:bCs/>
                <w:kern w:val="2"/>
                <w:sz w:val="22"/>
                <w:szCs w:val="22"/>
              </w:rPr>
              <w:t>Μόνιμος εξοπλισμός για την λειτουργία του σταθμού</w:t>
            </w:r>
          </w:p>
        </w:tc>
        <w:tc>
          <w:tcPr>
            <w:tcW w:w="3500" w:type="pct"/>
            <w:vAlign w:val="center"/>
          </w:tcPr>
          <w:p w14:paraId="603E82F7" w14:textId="77777777" w:rsidR="004A4A9A" w:rsidRPr="004A4A9A" w:rsidRDefault="004A4A9A" w:rsidP="004A4A9A">
            <w:pPr>
              <w:spacing w:after="0" w:line="240" w:lineRule="auto"/>
              <w:ind w:left="174" w:firstLine="36"/>
              <w:jc w:val="center"/>
              <w:rPr>
                <w:rFonts w:eastAsiaTheme="minorHAnsi" w:cs="Arial"/>
                <w:bCs/>
                <w:kern w:val="2"/>
                <w:sz w:val="22"/>
                <w:szCs w:val="22"/>
              </w:rPr>
            </w:pPr>
            <w:r w:rsidRPr="004A4A9A">
              <w:rPr>
                <w:rFonts w:eastAsiaTheme="minorHAnsi" w:cs="Arial"/>
                <w:bCs/>
                <w:kern w:val="2"/>
                <w:sz w:val="22"/>
                <w:szCs w:val="22"/>
              </w:rPr>
              <w:t>2.1 Αγορά - μεταφορά - εγκατάσταση εξοπλισμού</w:t>
            </w:r>
          </w:p>
          <w:p w14:paraId="59332056" w14:textId="77777777" w:rsidR="004A4A9A" w:rsidRPr="004A4A9A" w:rsidRDefault="004A4A9A" w:rsidP="004A4A9A">
            <w:pPr>
              <w:spacing w:after="0" w:line="240" w:lineRule="auto"/>
              <w:ind w:left="174" w:firstLine="36"/>
              <w:jc w:val="center"/>
              <w:rPr>
                <w:rFonts w:eastAsiaTheme="minorHAnsi" w:cs="Arial"/>
                <w:bCs/>
                <w:kern w:val="2"/>
                <w:sz w:val="22"/>
                <w:szCs w:val="22"/>
              </w:rPr>
            </w:pPr>
            <w:r w:rsidRPr="004A4A9A">
              <w:rPr>
                <w:rFonts w:eastAsiaTheme="minorHAnsi" w:cs="Arial"/>
                <w:bCs/>
                <w:kern w:val="2"/>
                <w:sz w:val="22"/>
                <w:szCs w:val="22"/>
              </w:rPr>
              <w:t>2.2 Εξοπλισμός εξοικονόμησης ενέργειας και προστασίας περιβάλλοντος</w:t>
            </w:r>
          </w:p>
          <w:p w14:paraId="196C5E95" w14:textId="77777777" w:rsidR="004A4A9A" w:rsidRPr="004A4A9A" w:rsidRDefault="004A4A9A" w:rsidP="004A4A9A">
            <w:pPr>
              <w:spacing w:after="0" w:line="240" w:lineRule="auto"/>
              <w:ind w:left="174" w:firstLine="36"/>
              <w:jc w:val="center"/>
              <w:rPr>
                <w:rFonts w:eastAsiaTheme="minorHAnsi" w:cs="Arial"/>
                <w:bCs/>
                <w:kern w:val="2"/>
                <w:sz w:val="22"/>
                <w:szCs w:val="22"/>
              </w:rPr>
            </w:pPr>
            <w:r w:rsidRPr="004A4A9A">
              <w:rPr>
                <w:rFonts w:eastAsiaTheme="minorHAnsi" w:cs="Arial"/>
                <w:bCs/>
                <w:kern w:val="2"/>
                <w:sz w:val="22"/>
                <w:szCs w:val="22"/>
              </w:rPr>
              <w:t>2.3 Εξοπλισμός για την αναβάθμιση της υγιεινής και ασφάλειας στους χώρους της επιχείρησης.</w:t>
            </w:r>
          </w:p>
          <w:p w14:paraId="6D753DB6" w14:textId="77777777" w:rsidR="004A4A9A" w:rsidRPr="004A4A9A" w:rsidRDefault="004A4A9A" w:rsidP="004A4A9A">
            <w:pPr>
              <w:spacing w:after="0" w:line="240" w:lineRule="auto"/>
              <w:ind w:left="174" w:firstLine="36"/>
              <w:jc w:val="center"/>
              <w:rPr>
                <w:rFonts w:eastAsiaTheme="minorHAnsi" w:cs="Arial"/>
                <w:bCs/>
                <w:kern w:val="2"/>
                <w:sz w:val="22"/>
                <w:szCs w:val="22"/>
              </w:rPr>
            </w:pPr>
            <w:r w:rsidRPr="004A4A9A">
              <w:rPr>
                <w:rFonts w:eastAsiaTheme="minorHAnsi" w:cs="Arial"/>
                <w:bCs/>
                <w:kern w:val="2"/>
                <w:sz w:val="22"/>
                <w:szCs w:val="22"/>
              </w:rPr>
              <w:t>2.4 Πληροφοριακός εξοπλισμός και Λογισμικά</w:t>
            </w:r>
          </w:p>
          <w:p w14:paraId="45CD692D" w14:textId="77777777" w:rsidR="004A4A9A" w:rsidRPr="004A4A9A" w:rsidRDefault="004A4A9A" w:rsidP="004A4A9A">
            <w:pPr>
              <w:spacing w:after="0" w:line="240" w:lineRule="auto"/>
              <w:ind w:left="174" w:firstLine="36"/>
              <w:jc w:val="center"/>
              <w:rPr>
                <w:rFonts w:eastAsiaTheme="minorHAnsi" w:cs="Arial"/>
                <w:bCs/>
                <w:kern w:val="2"/>
                <w:sz w:val="22"/>
                <w:szCs w:val="22"/>
              </w:rPr>
            </w:pPr>
            <w:r w:rsidRPr="004A4A9A">
              <w:rPr>
                <w:rFonts w:eastAsiaTheme="minorHAnsi" w:cs="Arial"/>
                <w:bCs/>
                <w:kern w:val="2"/>
                <w:sz w:val="22"/>
                <w:szCs w:val="22"/>
              </w:rPr>
              <w:t>2.5 Μεταφορικά Μέσα</w:t>
            </w:r>
          </w:p>
        </w:tc>
      </w:tr>
      <w:tr w:rsidR="004A4A9A" w:rsidRPr="004A4A9A" w14:paraId="3436D977" w14:textId="77777777" w:rsidTr="00CD37B1">
        <w:trPr>
          <w:trHeight w:val="1420"/>
          <w:jc w:val="center"/>
        </w:trPr>
        <w:tc>
          <w:tcPr>
            <w:tcW w:w="316" w:type="pct"/>
            <w:vAlign w:val="center"/>
          </w:tcPr>
          <w:p w14:paraId="24F37318"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Theme="minorHAnsi" w:cs="Arial"/>
                <w:bCs/>
                <w:kern w:val="2"/>
                <w:sz w:val="22"/>
                <w:szCs w:val="22"/>
              </w:rPr>
              <w:t>3.</w:t>
            </w:r>
          </w:p>
        </w:tc>
        <w:tc>
          <w:tcPr>
            <w:tcW w:w="1184" w:type="pct"/>
            <w:vAlign w:val="center"/>
          </w:tcPr>
          <w:p w14:paraId="2A933178" w14:textId="77777777" w:rsidR="004A4A9A" w:rsidRPr="004A4A9A" w:rsidRDefault="004A4A9A" w:rsidP="004A4A9A">
            <w:pPr>
              <w:spacing w:after="0" w:line="240" w:lineRule="auto"/>
              <w:jc w:val="center"/>
              <w:rPr>
                <w:rFonts w:eastAsiaTheme="minorHAnsi" w:cs="Arial"/>
                <w:bCs/>
                <w:kern w:val="2"/>
                <w:sz w:val="22"/>
                <w:szCs w:val="22"/>
              </w:rPr>
            </w:pPr>
            <w:r w:rsidRPr="004A4A9A">
              <w:rPr>
                <w:rFonts w:eastAsia="Calibri" w:cs="Arial"/>
                <w:bCs/>
                <w:kern w:val="2"/>
                <w:sz w:val="22"/>
                <w:szCs w:val="22"/>
              </w:rPr>
              <w:t>Απαιτούμενες προπαρασκευαστικές και υποστηρικτικές μελέτες και υπηρεσίες</w:t>
            </w:r>
          </w:p>
        </w:tc>
        <w:tc>
          <w:tcPr>
            <w:tcW w:w="3500" w:type="pct"/>
            <w:vAlign w:val="center"/>
          </w:tcPr>
          <w:p w14:paraId="6BDD8296" w14:textId="77777777" w:rsidR="004A4A9A" w:rsidRPr="004A4A9A" w:rsidRDefault="004A4A9A" w:rsidP="004A4A9A">
            <w:pPr>
              <w:autoSpaceDE w:val="0"/>
              <w:autoSpaceDN w:val="0"/>
              <w:adjustRightInd w:val="0"/>
              <w:spacing w:after="0" w:line="240" w:lineRule="auto"/>
              <w:ind w:left="174"/>
              <w:jc w:val="center"/>
              <w:rPr>
                <w:rFonts w:eastAsia="Calibri" w:cs="Arial"/>
                <w:bCs/>
                <w:color w:val="000000"/>
                <w:sz w:val="22"/>
                <w:szCs w:val="22"/>
              </w:rPr>
            </w:pPr>
            <w:r w:rsidRPr="004A4A9A">
              <w:rPr>
                <w:rFonts w:eastAsia="Calibri" w:cs="Arial"/>
                <w:bCs/>
                <w:color w:val="000000"/>
                <w:sz w:val="22"/>
                <w:szCs w:val="22"/>
              </w:rPr>
              <w:t>3.1 Έκδοση Πιστοποιητικού Ενεργειακής Απόδοσης (ΠΕΑ) και εκπόνηση τεχνικών μελετών συνδυασμένη με δαπάνες των κατηγοριών 1 ή / και 2.</w:t>
            </w:r>
          </w:p>
          <w:p w14:paraId="2BE7A4F6" w14:textId="77777777" w:rsidR="004A4A9A" w:rsidRPr="004A4A9A" w:rsidRDefault="004A4A9A" w:rsidP="004A4A9A">
            <w:pPr>
              <w:autoSpaceDE w:val="0"/>
              <w:autoSpaceDN w:val="0"/>
              <w:adjustRightInd w:val="0"/>
              <w:spacing w:after="0" w:line="240" w:lineRule="auto"/>
              <w:ind w:left="174"/>
              <w:jc w:val="center"/>
              <w:rPr>
                <w:rFonts w:eastAsia="Calibri" w:cs="Arial"/>
                <w:bCs/>
                <w:color w:val="000000"/>
                <w:sz w:val="22"/>
                <w:szCs w:val="22"/>
              </w:rPr>
            </w:pPr>
            <w:r w:rsidRPr="004A4A9A">
              <w:rPr>
                <w:rFonts w:eastAsia="Calibri" w:cs="Arial"/>
                <w:bCs/>
                <w:color w:val="000000"/>
                <w:sz w:val="22"/>
                <w:szCs w:val="22"/>
              </w:rPr>
              <w:t>3.2 Κόστος Παρακολούθησης Σεμιναρίων Παροχής Πρώτων Βοηθειών από Διαπιστευμένους Φορείς.</w:t>
            </w:r>
          </w:p>
          <w:p w14:paraId="70B03D91" w14:textId="77777777" w:rsidR="004A4A9A" w:rsidRPr="004A4A9A" w:rsidRDefault="004A4A9A" w:rsidP="004A4A9A">
            <w:pPr>
              <w:spacing w:after="0" w:line="240" w:lineRule="auto"/>
              <w:ind w:left="158"/>
              <w:jc w:val="center"/>
              <w:rPr>
                <w:rFonts w:eastAsiaTheme="minorHAnsi" w:cs="Arial"/>
                <w:bCs/>
                <w:kern w:val="2"/>
                <w:sz w:val="22"/>
                <w:szCs w:val="22"/>
              </w:rPr>
            </w:pPr>
            <w:r w:rsidRPr="004A4A9A">
              <w:rPr>
                <w:rFonts w:eastAsia="Calibri" w:cs="Arial"/>
                <w:bCs/>
                <w:kern w:val="2"/>
                <w:sz w:val="22"/>
                <w:szCs w:val="22"/>
              </w:rPr>
              <w:t>3.3 Δαπάνη παρακολούθησης επενδυτικού σχεδίου</w:t>
            </w:r>
          </w:p>
        </w:tc>
      </w:tr>
    </w:tbl>
    <w:bookmarkEnd w:id="1"/>
    <w:p w14:paraId="37417263" w14:textId="77777777" w:rsidR="004A4A9A" w:rsidRPr="004A4A9A" w:rsidRDefault="004A4A9A" w:rsidP="004A4A9A">
      <w:pPr>
        <w:spacing w:after="0" w:line="240" w:lineRule="auto"/>
        <w:jc w:val="both"/>
        <w:rPr>
          <w:rFonts w:eastAsiaTheme="minorHAnsi" w:cs="Arial"/>
          <w:b/>
          <w:kern w:val="2"/>
          <w:sz w:val="22"/>
          <w:szCs w:val="22"/>
        </w:rPr>
      </w:pPr>
      <w:r w:rsidRPr="004A4A9A">
        <w:rPr>
          <w:rFonts w:eastAsiaTheme="minorHAnsi" w:cs="Arial"/>
          <w:b/>
          <w:kern w:val="2"/>
          <w:sz w:val="22"/>
          <w:szCs w:val="22"/>
        </w:rPr>
        <w:t>Επισημαίνεται ότι στο στάδιο της τελικής επαλήθευσης θα πρέπει να προκύπτουν οι νέες θέσεις βρεφών στη νέα άδεια λειτουργίας που προέκυψαν από τις επιχορηγούμενες δαπάνες. Σε διαφορετική περίπτωση θα γίνεται ανάκληση ολική ή μερική της χρηματοδότησης.</w:t>
      </w:r>
    </w:p>
    <w:p w14:paraId="3DDB5F2D" w14:textId="77777777" w:rsidR="004A4A9A" w:rsidRPr="004A4A9A" w:rsidRDefault="004A4A9A" w:rsidP="004A4A9A">
      <w:pPr>
        <w:spacing w:after="0" w:line="240" w:lineRule="auto"/>
        <w:jc w:val="both"/>
        <w:rPr>
          <w:rFonts w:eastAsiaTheme="minorHAnsi" w:cs="Arial"/>
          <w:b/>
          <w:kern w:val="2"/>
          <w:sz w:val="22"/>
          <w:szCs w:val="22"/>
        </w:rPr>
      </w:pPr>
    </w:p>
    <w:p w14:paraId="64CE16BB" w14:textId="77777777" w:rsidR="004A4A9A" w:rsidRPr="004A4A9A" w:rsidRDefault="004A4A9A" w:rsidP="004A4A9A">
      <w:pPr>
        <w:autoSpaceDE w:val="0"/>
        <w:autoSpaceDN w:val="0"/>
        <w:adjustRightInd w:val="0"/>
        <w:spacing w:after="0" w:line="240" w:lineRule="auto"/>
        <w:jc w:val="both"/>
        <w:rPr>
          <w:rFonts w:eastAsiaTheme="minorHAnsi" w:cs="Arial"/>
          <w:b/>
          <w:bCs/>
          <w:kern w:val="2"/>
          <w:sz w:val="22"/>
          <w:szCs w:val="22"/>
          <w:u w:val="single"/>
        </w:rPr>
      </w:pPr>
      <w:r w:rsidRPr="004A4A9A">
        <w:rPr>
          <w:rFonts w:eastAsiaTheme="minorHAnsi" w:cs="Arial"/>
          <w:b/>
          <w:bCs/>
          <w:kern w:val="2"/>
          <w:sz w:val="22"/>
          <w:szCs w:val="22"/>
          <w:u w:val="single"/>
        </w:rPr>
        <w:t>ΕΠΙΧΟΡΗΓΟΥΜΕΝΟΣ ΠΡΟΫΠΟΛΟΓΙΣΜΟΣ</w:t>
      </w:r>
    </w:p>
    <w:p w14:paraId="514AEACF" w14:textId="77777777" w:rsidR="004A4A9A" w:rsidRPr="004A4A9A" w:rsidRDefault="004A4A9A" w:rsidP="004A4A9A">
      <w:pPr>
        <w:spacing w:after="0" w:line="240" w:lineRule="auto"/>
        <w:jc w:val="both"/>
        <w:rPr>
          <w:rFonts w:eastAsiaTheme="minorHAnsi" w:cs="Arial"/>
          <w:kern w:val="2"/>
          <w:sz w:val="22"/>
          <w:szCs w:val="22"/>
        </w:rPr>
      </w:pPr>
      <w:r w:rsidRPr="004A4A9A">
        <w:rPr>
          <w:rFonts w:eastAsiaTheme="minorHAnsi" w:cs="Arial"/>
          <w:kern w:val="2"/>
          <w:sz w:val="22"/>
          <w:szCs w:val="22"/>
        </w:rPr>
        <w:t xml:space="preserve">Για τον επιχορηγούμενο προϋπολογισμό (δημόσια δαπάνη και ιδιωτική συμμετοχή, </w:t>
      </w:r>
      <w:proofErr w:type="spellStart"/>
      <w:r w:rsidRPr="004A4A9A">
        <w:rPr>
          <w:rFonts w:eastAsiaTheme="minorHAnsi" w:cs="Arial"/>
          <w:i/>
          <w:iCs/>
          <w:kern w:val="2"/>
          <w:sz w:val="22"/>
          <w:szCs w:val="22"/>
        </w:rPr>
        <w:t>συμπ</w:t>
      </w:r>
      <w:proofErr w:type="spellEnd"/>
      <w:r w:rsidRPr="004A4A9A">
        <w:rPr>
          <w:rFonts w:eastAsiaTheme="minorHAnsi" w:cs="Arial"/>
          <w:i/>
          <w:iCs/>
          <w:kern w:val="2"/>
          <w:sz w:val="22"/>
          <w:szCs w:val="22"/>
        </w:rPr>
        <w:t>. Φ.Π.Α.</w:t>
      </w:r>
      <w:r w:rsidRPr="004A4A9A">
        <w:rPr>
          <w:rFonts w:eastAsiaTheme="minorHAnsi" w:cs="Arial"/>
          <w:kern w:val="2"/>
          <w:sz w:val="22"/>
          <w:szCs w:val="22"/>
        </w:rPr>
        <w:t>) κάθε επενδυτικού σχεδίου ισχύουν σωρευτικά οι παρακάτω προϋποθέσεις:</w:t>
      </w:r>
    </w:p>
    <w:p w14:paraId="421EF019" w14:textId="77777777" w:rsidR="004A4A9A" w:rsidRPr="004A4A9A" w:rsidRDefault="004A4A9A" w:rsidP="004A4A9A">
      <w:pPr>
        <w:numPr>
          <w:ilvl w:val="0"/>
          <w:numId w:val="19"/>
        </w:numPr>
        <w:spacing w:after="0" w:line="240" w:lineRule="auto"/>
        <w:ind w:left="426" w:hanging="284"/>
        <w:contextualSpacing/>
        <w:jc w:val="both"/>
        <w:rPr>
          <w:rFonts w:eastAsiaTheme="minorHAnsi" w:cs="Arial"/>
          <w:i/>
          <w:iCs/>
          <w:kern w:val="2"/>
          <w:sz w:val="22"/>
          <w:szCs w:val="22"/>
        </w:rPr>
      </w:pPr>
      <w:r w:rsidRPr="004A4A9A">
        <w:rPr>
          <w:rFonts w:eastAsiaTheme="minorHAnsi" w:cs="Arial"/>
          <w:i/>
          <w:iCs/>
          <w:kern w:val="2"/>
          <w:sz w:val="22"/>
          <w:szCs w:val="22"/>
        </w:rPr>
        <w:t>Η ένταση της ενίσχυσης είναι 50% επί του προϋπολογισμού του,</w:t>
      </w:r>
    </w:p>
    <w:p w14:paraId="37EDD450" w14:textId="77777777" w:rsidR="004A4A9A" w:rsidRPr="004A4A9A" w:rsidRDefault="004A4A9A" w:rsidP="004A4A9A">
      <w:pPr>
        <w:numPr>
          <w:ilvl w:val="0"/>
          <w:numId w:val="19"/>
        </w:numPr>
        <w:spacing w:after="0" w:line="240" w:lineRule="auto"/>
        <w:ind w:left="426" w:hanging="284"/>
        <w:contextualSpacing/>
        <w:jc w:val="both"/>
        <w:rPr>
          <w:rFonts w:eastAsiaTheme="minorHAnsi" w:cs="Arial"/>
          <w:i/>
          <w:iCs/>
          <w:kern w:val="2"/>
          <w:sz w:val="22"/>
          <w:szCs w:val="22"/>
        </w:rPr>
      </w:pPr>
      <w:r w:rsidRPr="004A4A9A">
        <w:rPr>
          <w:rFonts w:eastAsiaTheme="minorHAnsi" w:cs="Arial"/>
          <w:i/>
          <w:iCs/>
          <w:kern w:val="2"/>
          <w:sz w:val="22"/>
          <w:szCs w:val="22"/>
        </w:rPr>
        <w:t>Η δημόσια ενίσχυση δεν μπορεί να υπερβεί το ποσό των 300.000 ευρώ (</w:t>
      </w:r>
      <w:proofErr w:type="spellStart"/>
      <w:r w:rsidRPr="004A4A9A">
        <w:rPr>
          <w:rFonts w:eastAsiaTheme="minorHAnsi" w:cs="Arial"/>
          <w:i/>
          <w:iCs/>
          <w:kern w:val="2"/>
          <w:sz w:val="22"/>
          <w:szCs w:val="22"/>
        </w:rPr>
        <w:t>συμπ</w:t>
      </w:r>
      <w:proofErr w:type="spellEnd"/>
      <w:r w:rsidRPr="004A4A9A">
        <w:rPr>
          <w:rFonts w:eastAsiaTheme="minorHAnsi" w:cs="Arial"/>
          <w:i/>
          <w:iCs/>
          <w:kern w:val="2"/>
          <w:sz w:val="22"/>
          <w:szCs w:val="22"/>
        </w:rPr>
        <w:t>. Φ.Π.Α.),</w:t>
      </w:r>
    </w:p>
    <w:p w14:paraId="39F6C3C0" w14:textId="77777777" w:rsidR="004A4A9A" w:rsidRPr="004A4A9A" w:rsidRDefault="004A4A9A" w:rsidP="004A4A9A">
      <w:pPr>
        <w:numPr>
          <w:ilvl w:val="0"/>
          <w:numId w:val="19"/>
        </w:numPr>
        <w:spacing w:after="0" w:line="240" w:lineRule="auto"/>
        <w:ind w:left="426" w:hanging="284"/>
        <w:contextualSpacing/>
        <w:jc w:val="both"/>
        <w:rPr>
          <w:rFonts w:eastAsiaTheme="minorHAnsi" w:cs="Arial"/>
          <w:i/>
          <w:iCs/>
          <w:kern w:val="2"/>
          <w:sz w:val="22"/>
          <w:szCs w:val="22"/>
        </w:rPr>
      </w:pPr>
      <w:r w:rsidRPr="004A4A9A">
        <w:rPr>
          <w:rFonts w:eastAsiaTheme="minorHAnsi" w:cs="Arial"/>
          <w:i/>
          <w:iCs/>
          <w:kern w:val="2"/>
          <w:sz w:val="22"/>
          <w:szCs w:val="22"/>
        </w:rPr>
        <w:t xml:space="preserve">Θα πρέπει να τηρούνται τα όρια Σώρευσης σύμφωνα με τον Κανονισμό (ΕΕ) </w:t>
      </w:r>
      <w:bookmarkStart w:id="2" w:name="_Hlk162608992"/>
      <w:r w:rsidRPr="004A4A9A">
        <w:rPr>
          <w:rFonts w:eastAsiaTheme="minorHAnsi" w:cs="Arial"/>
          <w:i/>
          <w:iCs/>
          <w:kern w:val="2"/>
          <w:sz w:val="22"/>
          <w:szCs w:val="22"/>
        </w:rPr>
        <w:t xml:space="preserve">2023/2831 </w:t>
      </w:r>
      <w:bookmarkEnd w:id="2"/>
      <w:r w:rsidRPr="004A4A9A">
        <w:rPr>
          <w:rFonts w:eastAsiaTheme="minorHAnsi" w:cs="Arial"/>
          <w:i/>
          <w:iCs/>
          <w:kern w:val="2"/>
          <w:sz w:val="22"/>
          <w:szCs w:val="22"/>
        </w:rPr>
        <w:t xml:space="preserve">της Επιτροπής της 13.12.2023 σχετικά με την εφαρμογή των άρθρων 107 και 108 της Συνθήκης για τη λειτουργία της Ευρωπαϊκής Ένωσης στις </w:t>
      </w:r>
      <w:r w:rsidRPr="004A4A9A">
        <w:rPr>
          <w:rFonts w:eastAsiaTheme="minorHAnsi" w:cs="Arial"/>
          <w:b/>
          <w:bCs/>
          <w:i/>
          <w:iCs/>
          <w:kern w:val="2"/>
          <w:sz w:val="22"/>
          <w:szCs w:val="22"/>
        </w:rPr>
        <w:t>ενισχύσεις ήσσονος σημασίας</w:t>
      </w:r>
      <w:r w:rsidRPr="004A4A9A">
        <w:rPr>
          <w:rFonts w:eastAsiaTheme="minorHAnsi" w:cs="Arial"/>
          <w:i/>
          <w:iCs/>
          <w:kern w:val="2"/>
          <w:sz w:val="22"/>
          <w:szCs w:val="22"/>
        </w:rPr>
        <w:t>,</w:t>
      </w:r>
    </w:p>
    <w:p w14:paraId="4AC0698D" w14:textId="77777777" w:rsidR="004A4A9A" w:rsidRPr="004A4A9A" w:rsidRDefault="004A4A9A" w:rsidP="004A4A9A">
      <w:pPr>
        <w:numPr>
          <w:ilvl w:val="0"/>
          <w:numId w:val="19"/>
        </w:numPr>
        <w:spacing w:after="0" w:line="240" w:lineRule="auto"/>
        <w:ind w:left="426" w:hanging="284"/>
        <w:contextualSpacing/>
        <w:jc w:val="both"/>
        <w:rPr>
          <w:rFonts w:eastAsiaTheme="minorHAnsi" w:cs="Arial"/>
          <w:i/>
          <w:iCs/>
          <w:kern w:val="2"/>
          <w:sz w:val="22"/>
          <w:szCs w:val="22"/>
        </w:rPr>
      </w:pPr>
      <w:r w:rsidRPr="004A4A9A">
        <w:rPr>
          <w:rFonts w:eastAsiaTheme="minorHAnsi" w:cs="Arial"/>
          <w:i/>
          <w:iCs/>
          <w:kern w:val="2"/>
          <w:sz w:val="22"/>
          <w:szCs w:val="22"/>
        </w:rPr>
        <w:t>Το ανώτατο ποσοστό, επί του συνολικού προϋπολογισμού, για κάθε κατηγορία επιλέξιμης δαπάνης έχει ως εξής:</w:t>
      </w:r>
    </w:p>
    <w:tbl>
      <w:tblPr>
        <w:tblStyle w:val="TableGrid1"/>
        <w:tblW w:w="7744" w:type="dxa"/>
        <w:jc w:val="right"/>
        <w:tblInd w:w="0" w:type="dxa"/>
        <w:tblLook w:val="04A0" w:firstRow="1" w:lastRow="0" w:firstColumn="1" w:lastColumn="0" w:noHBand="0" w:noVBand="1"/>
      </w:tblPr>
      <w:tblGrid>
        <w:gridCol w:w="2359"/>
        <w:gridCol w:w="3337"/>
        <w:gridCol w:w="2048"/>
      </w:tblGrid>
      <w:tr w:rsidR="004A4A9A" w:rsidRPr="004A4A9A" w14:paraId="5C397EC5" w14:textId="77777777" w:rsidTr="00CD37B1">
        <w:trPr>
          <w:jc w:val="right"/>
        </w:trPr>
        <w:tc>
          <w:tcPr>
            <w:tcW w:w="2272" w:type="dxa"/>
            <w:vAlign w:val="center"/>
          </w:tcPr>
          <w:p w14:paraId="529E2707" w14:textId="77777777" w:rsidR="004A4A9A" w:rsidRPr="004A4A9A" w:rsidRDefault="004A4A9A" w:rsidP="004A4A9A">
            <w:pPr>
              <w:spacing w:after="0" w:line="240" w:lineRule="auto"/>
              <w:ind w:right="41"/>
              <w:jc w:val="center"/>
              <w:rPr>
                <w:rFonts w:cs="Arial"/>
                <w:b/>
              </w:rPr>
            </w:pPr>
            <w:r w:rsidRPr="004A4A9A">
              <w:rPr>
                <w:rFonts w:cs="Arial"/>
              </w:rPr>
              <w:t>Κατηγορία Επιλέξιμης Δαπάνης</w:t>
            </w:r>
          </w:p>
        </w:tc>
        <w:tc>
          <w:tcPr>
            <w:tcW w:w="3402" w:type="dxa"/>
            <w:vAlign w:val="center"/>
          </w:tcPr>
          <w:p w14:paraId="184C2B76" w14:textId="77777777" w:rsidR="004A4A9A" w:rsidRPr="004A4A9A" w:rsidRDefault="004A4A9A" w:rsidP="004A4A9A">
            <w:pPr>
              <w:spacing w:after="0" w:line="240" w:lineRule="auto"/>
              <w:ind w:right="41"/>
              <w:jc w:val="center"/>
              <w:rPr>
                <w:rFonts w:cs="Arial"/>
                <w:b/>
              </w:rPr>
            </w:pPr>
            <w:r w:rsidRPr="004A4A9A">
              <w:rPr>
                <w:rFonts w:cs="Arial"/>
              </w:rPr>
              <w:t>Περιγραφή</w:t>
            </w:r>
          </w:p>
        </w:tc>
        <w:tc>
          <w:tcPr>
            <w:tcW w:w="2070" w:type="dxa"/>
            <w:vAlign w:val="center"/>
          </w:tcPr>
          <w:p w14:paraId="3D2C0145" w14:textId="77777777" w:rsidR="004A4A9A" w:rsidRPr="004A4A9A" w:rsidRDefault="004A4A9A" w:rsidP="004A4A9A">
            <w:pPr>
              <w:spacing w:after="0" w:line="240" w:lineRule="auto"/>
              <w:ind w:right="41"/>
              <w:jc w:val="center"/>
              <w:rPr>
                <w:rFonts w:cs="Arial"/>
                <w:b/>
              </w:rPr>
            </w:pPr>
            <w:r w:rsidRPr="004A4A9A">
              <w:rPr>
                <w:rFonts w:cs="Arial"/>
              </w:rPr>
              <w:t xml:space="preserve">Ανώτατο ποσοστό συν. </w:t>
            </w:r>
            <w:proofErr w:type="spellStart"/>
            <w:r w:rsidRPr="004A4A9A">
              <w:rPr>
                <w:rFonts w:cs="Arial"/>
              </w:rPr>
              <w:t>Προϋπ</w:t>
            </w:r>
            <w:proofErr w:type="spellEnd"/>
            <w:r w:rsidRPr="004A4A9A">
              <w:rPr>
                <w:rFonts w:cs="Arial"/>
              </w:rPr>
              <w:t>/</w:t>
            </w:r>
            <w:proofErr w:type="spellStart"/>
            <w:r w:rsidRPr="004A4A9A">
              <w:rPr>
                <w:rFonts w:cs="Arial"/>
              </w:rPr>
              <w:t>σμού</w:t>
            </w:r>
            <w:proofErr w:type="spellEnd"/>
          </w:p>
        </w:tc>
      </w:tr>
      <w:tr w:rsidR="004A4A9A" w:rsidRPr="004A4A9A" w14:paraId="497F9091" w14:textId="77777777" w:rsidTr="00CD37B1">
        <w:trPr>
          <w:jc w:val="right"/>
        </w:trPr>
        <w:tc>
          <w:tcPr>
            <w:tcW w:w="2272" w:type="dxa"/>
            <w:vAlign w:val="center"/>
          </w:tcPr>
          <w:p w14:paraId="24C12914" w14:textId="77777777" w:rsidR="004A4A9A" w:rsidRPr="004A4A9A" w:rsidRDefault="004A4A9A" w:rsidP="004A4A9A">
            <w:pPr>
              <w:spacing w:after="0" w:line="240" w:lineRule="auto"/>
              <w:ind w:right="41"/>
              <w:jc w:val="center"/>
              <w:rPr>
                <w:rFonts w:cs="Arial"/>
              </w:rPr>
            </w:pPr>
            <w:r w:rsidRPr="004A4A9A">
              <w:rPr>
                <w:rFonts w:cs="Arial"/>
              </w:rPr>
              <w:t>i. κτιριακές υποδομές και διαμόρφωση εξωτερικού χώρου</w:t>
            </w:r>
          </w:p>
        </w:tc>
        <w:tc>
          <w:tcPr>
            <w:tcW w:w="3402" w:type="dxa"/>
            <w:vAlign w:val="center"/>
          </w:tcPr>
          <w:p w14:paraId="2151B21E" w14:textId="77777777" w:rsidR="004A4A9A" w:rsidRPr="004A4A9A" w:rsidRDefault="004A4A9A" w:rsidP="004A4A9A">
            <w:pPr>
              <w:spacing w:after="0" w:line="240" w:lineRule="auto"/>
              <w:ind w:right="41"/>
              <w:jc w:val="center"/>
              <w:rPr>
                <w:rFonts w:cs="Arial"/>
              </w:rPr>
            </w:pPr>
            <w:r w:rsidRPr="004A4A9A">
              <w:rPr>
                <w:rFonts w:cs="Arial"/>
              </w:rPr>
              <w:t>Σύμφωνα με το Παράρτημα ΙΙ –Ενότητα 1 του οδηγού του προγράμματος</w:t>
            </w:r>
          </w:p>
        </w:tc>
        <w:tc>
          <w:tcPr>
            <w:tcW w:w="2070" w:type="dxa"/>
            <w:vAlign w:val="center"/>
          </w:tcPr>
          <w:p w14:paraId="562AF82C" w14:textId="77777777" w:rsidR="004A4A9A" w:rsidRPr="004A4A9A" w:rsidRDefault="004A4A9A" w:rsidP="004A4A9A">
            <w:pPr>
              <w:spacing w:after="0" w:line="240" w:lineRule="auto"/>
              <w:ind w:right="41"/>
              <w:jc w:val="center"/>
              <w:rPr>
                <w:rFonts w:cs="Arial"/>
              </w:rPr>
            </w:pPr>
            <w:r w:rsidRPr="004A4A9A">
              <w:rPr>
                <w:rFonts w:cs="Arial"/>
              </w:rPr>
              <w:t>80%</w:t>
            </w:r>
          </w:p>
        </w:tc>
      </w:tr>
      <w:tr w:rsidR="004A4A9A" w:rsidRPr="004A4A9A" w14:paraId="32537052" w14:textId="77777777" w:rsidTr="00CD37B1">
        <w:trPr>
          <w:jc w:val="right"/>
        </w:trPr>
        <w:tc>
          <w:tcPr>
            <w:tcW w:w="2272" w:type="dxa"/>
            <w:vAlign w:val="center"/>
          </w:tcPr>
          <w:p w14:paraId="3DD9E9AF" w14:textId="77777777" w:rsidR="004A4A9A" w:rsidRPr="004A4A9A" w:rsidRDefault="004A4A9A" w:rsidP="004A4A9A">
            <w:pPr>
              <w:spacing w:after="0" w:line="240" w:lineRule="auto"/>
              <w:ind w:right="41"/>
              <w:jc w:val="center"/>
              <w:rPr>
                <w:rFonts w:cs="Arial"/>
              </w:rPr>
            </w:pPr>
            <w:proofErr w:type="spellStart"/>
            <w:r w:rsidRPr="004A4A9A">
              <w:rPr>
                <w:rFonts w:cs="Arial"/>
              </w:rPr>
              <w:t>ii</w:t>
            </w:r>
            <w:proofErr w:type="spellEnd"/>
            <w:r w:rsidRPr="004A4A9A">
              <w:rPr>
                <w:rFonts w:cs="Arial"/>
              </w:rPr>
              <w:t>. μόνιμος εξοπλισμός για την λειτουργία του σταθμού</w:t>
            </w:r>
          </w:p>
        </w:tc>
        <w:tc>
          <w:tcPr>
            <w:tcW w:w="3402" w:type="dxa"/>
            <w:vAlign w:val="center"/>
          </w:tcPr>
          <w:p w14:paraId="6BE6C4B3" w14:textId="77777777" w:rsidR="004A4A9A" w:rsidRPr="004A4A9A" w:rsidRDefault="004A4A9A" w:rsidP="004A4A9A">
            <w:pPr>
              <w:spacing w:after="0" w:line="240" w:lineRule="auto"/>
              <w:jc w:val="center"/>
              <w:rPr>
                <w:rFonts w:cs="Arial"/>
              </w:rPr>
            </w:pPr>
            <w:r w:rsidRPr="004A4A9A">
              <w:rPr>
                <w:rFonts w:cs="Arial"/>
              </w:rPr>
              <w:t>Σύμφωνα με το Παράρτημα ΙΙ –Ενότητα 2 του οδηγού του προγράμματος</w:t>
            </w:r>
          </w:p>
        </w:tc>
        <w:tc>
          <w:tcPr>
            <w:tcW w:w="2070" w:type="dxa"/>
            <w:vAlign w:val="center"/>
          </w:tcPr>
          <w:p w14:paraId="0F14F6F9" w14:textId="77777777" w:rsidR="004A4A9A" w:rsidRPr="004A4A9A" w:rsidRDefault="004A4A9A" w:rsidP="004A4A9A">
            <w:pPr>
              <w:spacing w:after="0" w:line="240" w:lineRule="auto"/>
              <w:ind w:right="41"/>
              <w:jc w:val="center"/>
              <w:rPr>
                <w:rFonts w:cs="Arial"/>
              </w:rPr>
            </w:pPr>
            <w:r w:rsidRPr="004A4A9A">
              <w:rPr>
                <w:rFonts w:cs="Arial"/>
              </w:rPr>
              <w:t>100%</w:t>
            </w:r>
          </w:p>
        </w:tc>
      </w:tr>
      <w:tr w:rsidR="004A4A9A" w:rsidRPr="004A4A9A" w14:paraId="58CFF2AA" w14:textId="77777777" w:rsidTr="00CD37B1">
        <w:trPr>
          <w:jc w:val="right"/>
        </w:trPr>
        <w:tc>
          <w:tcPr>
            <w:tcW w:w="2272" w:type="dxa"/>
            <w:vAlign w:val="center"/>
          </w:tcPr>
          <w:p w14:paraId="4608C6AA" w14:textId="77777777" w:rsidR="004A4A9A" w:rsidRPr="004A4A9A" w:rsidRDefault="004A4A9A" w:rsidP="004A4A9A">
            <w:pPr>
              <w:spacing w:after="0" w:line="240" w:lineRule="auto"/>
              <w:ind w:right="41"/>
              <w:jc w:val="center"/>
              <w:rPr>
                <w:rFonts w:cs="Arial"/>
              </w:rPr>
            </w:pPr>
            <w:proofErr w:type="spellStart"/>
            <w:r w:rsidRPr="004A4A9A">
              <w:rPr>
                <w:rFonts w:cs="Arial"/>
              </w:rPr>
              <w:t>iii</w:t>
            </w:r>
            <w:proofErr w:type="spellEnd"/>
            <w:r w:rsidRPr="004A4A9A">
              <w:rPr>
                <w:rFonts w:cs="Arial"/>
              </w:rPr>
              <w:t>. απαιτούμενες προπαρασκευαστικές και υποστηρικτικές μελέτες και υπηρεσίες</w:t>
            </w:r>
          </w:p>
        </w:tc>
        <w:tc>
          <w:tcPr>
            <w:tcW w:w="3402" w:type="dxa"/>
            <w:vAlign w:val="center"/>
          </w:tcPr>
          <w:p w14:paraId="59BA4F88" w14:textId="77777777" w:rsidR="004A4A9A" w:rsidRPr="004A4A9A" w:rsidRDefault="004A4A9A" w:rsidP="004A4A9A">
            <w:pPr>
              <w:spacing w:after="0" w:line="240" w:lineRule="auto"/>
              <w:jc w:val="center"/>
              <w:rPr>
                <w:rFonts w:cs="Arial"/>
              </w:rPr>
            </w:pPr>
            <w:r w:rsidRPr="004A4A9A">
              <w:rPr>
                <w:rFonts w:cs="Arial"/>
              </w:rPr>
              <w:t>Σύμφωνα με το Παράρτημα ΙΙ –Ενότητα 3 του οδηγού του προγράμματος</w:t>
            </w:r>
          </w:p>
        </w:tc>
        <w:tc>
          <w:tcPr>
            <w:tcW w:w="2070" w:type="dxa"/>
            <w:vAlign w:val="center"/>
          </w:tcPr>
          <w:p w14:paraId="5B8A0433" w14:textId="77777777" w:rsidR="004A4A9A" w:rsidRPr="004A4A9A" w:rsidRDefault="004A4A9A" w:rsidP="004A4A9A">
            <w:pPr>
              <w:spacing w:after="0" w:line="240" w:lineRule="auto"/>
              <w:ind w:right="41"/>
              <w:jc w:val="center"/>
              <w:rPr>
                <w:rFonts w:cs="Arial"/>
              </w:rPr>
            </w:pPr>
            <w:r w:rsidRPr="004A4A9A">
              <w:rPr>
                <w:rFonts w:cs="Arial"/>
              </w:rPr>
              <w:t>50%</w:t>
            </w:r>
          </w:p>
        </w:tc>
      </w:tr>
    </w:tbl>
    <w:p w14:paraId="3C9D514E" w14:textId="77777777" w:rsidR="004A4A9A" w:rsidRPr="004A4A9A" w:rsidRDefault="004A4A9A" w:rsidP="004A4A9A">
      <w:pPr>
        <w:numPr>
          <w:ilvl w:val="0"/>
          <w:numId w:val="20"/>
        </w:numPr>
        <w:spacing w:after="0" w:line="240" w:lineRule="auto"/>
        <w:ind w:left="426" w:right="40" w:hanging="284"/>
        <w:contextualSpacing/>
        <w:jc w:val="both"/>
        <w:rPr>
          <w:rFonts w:eastAsiaTheme="minorHAnsi" w:cs="Arial"/>
          <w:b/>
          <w:bCs/>
          <w:i/>
          <w:iCs/>
          <w:kern w:val="2"/>
          <w:sz w:val="22"/>
          <w:szCs w:val="22"/>
        </w:rPr>
      </w:pPr>
      <w:proofErr w:type="spellStart"/>
      <w:r w:rsidRPr="004A4A9A">
        <w:rPr>
          <w:rFonts w:eastAsiaTheme="minorHAnsi" w:cs="Arial"/>
          <w:b/>
          <w:bCs/>
          <w:i/>
          <w:iCs/>
          <w:kern w:val="2"/>
          <w:sz w:val="22"/>
          <w:szCs w:val="22"/>
        </w:rPr>
        <w:t>Oι</w:t>
      </w:r>
      <w:proofErr w:type="spellEnd"/>
      <w:r w:rsidRPr="004A4A9A">
        <w:rPr>
          <w:rFonts w:eastAsiaTheme="minorHAnsi" w:cs="Arial"/>
          <w:b/>
          <w:bCs/>
          <w:i/>
          <w:iCs/>
          <w:kern w:val="2"/>
          <w:sz w:val="22"/>
          <w:szCs w:val="22"/>
        </w:rPr>
        <w:t xml:space="preserve"> δαπάνες θα πρέπει να οδηγούν σε αύξηση της δυναμικότητας του</w:t>
      </w:r>
      <w:r w:rsidRPr="004A4A9A">
        <w:rPr>
          <w:rFonts w:eastAsiaTheme="minorHAnsi" w:cs="Arial"/>
          <w:b/>
          <w:bCs/>
          <w:i/>
          <w:iCs/>
          <w:kern w:val="2"/>
          <w:sz w:val="22"/>
          <w:szCs w:val="22"/>
          <w:u w:val="single"/>
        </w:rPr>
        <w:t xml:space="preserve"> </w:t>
      </w:r>
      <w:r w:rsidRPr="004A4A9A">
        <w:rPr>
          <w:rFonts w:eastAsiaTheme="minorHAnsi" w:cs="Arial"/>
          <w:b/>
          <w:bCs/>
          <w:i/>
          <w:iCs/>
          <w:kern w:val="2"/>
          <w:sz w:val="22"/>
          <w:szCs w:val="22"/>
        </w:rPr>
        <w:t xml:space="preserve">βρεφικού σταθμού. </w:t>
      </w:r>
      <w:r w:rsidRPr="004A4A9A">
        <w:rPr>
          <w:rFonts w:eastAsiaTheme="minorHAnsi" w:cs="Arial"/>
          <w:i/>
          <w:iCs/>
          <w:kern w:val="2"/>
          <w:sz w:val="22"/>
          <w:szCs w:val="22"/>
        </w:rPr>
        <w:t>Στο αίτημα χρηματοδότησης οι υποψήφιοι θα δηλώνουν τις νέες θέσεις βρεφών που θα προκύψουν μέσω της υλοποίησης του Επενδυτικού Σχεδίου.</w:t>
      </w:r>
      <w:r w:rsidRPr="004A4A9A">
        <w:rPr>
          <w:rFonts w:eastAsiaTheme="minorHAnsi" w:cs="Arial"/>
          <w:b/>
          <w:bCs/>
          <w:i/>
          <w:iCs/>
          <w:kern w:val="2"/>
          <w:sz w:val="22"/>
          <w:szCs w:val="22"/>
        </w:rPr>
        <w:t xml:space="preserve"> Για κάθε νέα θέση βρέφους η δημόσια επιχορήγηση δεν δύναται να ξεπερνά των ποσό των 3.400,00€ (συμπεριλαμβανομένου ΦΠΑ). </w:t>
      </w:r>
    </w:p>
    <w:p w14:paraId="7A44E63D" w14:textId="77777777" w:rsidR="004A4A9A" w:rsidRPr="004A4A9A" w:rsidRDefault="004A4A9A" w:rsidP="004A4A9A">
      <w:pPr>
        <w:spacing w:after="0" w:line="240" w:lineRule="auto"/>
        <w:ind w:left="426" w:right="41"/>
        <w:jc w:val="both"/>
        <w:rPr>
          <w:rFonts w:eastAsia="Calibri" w:cs="Arial"/>
          <w:kern w:val="2"/>
          <w:sz w:val="22"/>
          <w:szCs w:val="22"/>
        </w:rPr>
      </w:pPr>
      <w:r w:rsidRPr="004A4A9A">
        <w:rPr>
          <w:rFonts w:eastAsia="Calibri" w:cs="Arial"/>
          <w:b/>
          <w:bCs/>
          <w:kern w:val="2"/>
          <w:sz w:val="22"/>
          <w:szCs w:val="22"/>
        </w:rPr>
        <w:t>Ειδικότερα</w:t>
      </w:r>
      <w:r w:rsidRPr="004A4A9A">
        <w:rPr>
          <w:rFonts w:eastAsia="Calibri" w:cs="Arial"/>
          <w:kern w:val="2"/>
          <w:sz w:val="22"/>
          <w:szCs w:val="22"/>
        </w:rPr>
        <w:t xml:space="preserve">: </w:t>
      </w:r>
    </w:p>
    <w:tbl>
      <w:tblPr>
        <w:tblStyle w:val="TableGrid1"/>
        <w:tblW w:w="0" w:type="auto"/>
        <w:tblInd w:w="683" w:type="dxa"/>
        <w:tblLook w:val="04A0" w:firstRow="1" w:lastRow="0" w:firstColumn="1" w:lastColumn="0" w:noHBand="0" w:noVBand="1"/>
      </w:tblPr>
      <w:tblGrid>
        <w:gridCol w:w="2972"/>
        <w:gridCol w:w="3955"/>
      </w:tblGrid>
      <w:tr w:rsidR="004A4A9A" w:rsidRPr="004A4A9A" w14:paraId="075969A8" w14:textId="77777777" w:rsidTr="00CD37B1">
        <w:tc>
          <w:tcPr>
            <w:tcW w:w="2972" w:type="dxa"/>
          </w:tcPr>
          <w:p w14:paraId="4041A83F" w14:textId="77777777" w:rsidR="004A4A9A" w:rsidRPr="004A4A9A" w:rsidRDefault="004A4A9A" w:rsidP="004A4A9A">
            <w:pPr>
              <w:spacing w:after="0" w:line="240" w:lineRule="auto"/>
              <w:ind w:right="41"/>
              <w:jc w:val="center"/>
              <w:rPr>
                <w:rFonts w:cs="Arial"/>
              </w:rPr>
            </w:pPr>
            <w:r w:rsidRPr="004A4A9A">
              <w:rPr>
                <w:rFonts w:cs="Arial"/>
              </w:rPr>
              <w:t>Δημιουργία θέσεων</w:t>
            </w:r>
          </w:p>
        </w:tc>
        <w:tc>
          <w:tcPr>
            <w:tcW w:w="3955" w:type="dxa"/>
          </w:tcPr>
          <w:p w14:paraId="31E05CEB" w14:textId="77777777" w:rsidR="004A4A9A" w:rsidRPr="004A4A9A" w:rsidRDefault="004A4A9A" w:rsidP="004A4A9A">
            <w:pPr>
              <w:spacing w:after="0" w:line="240" w:lineRule="auto"/>
              <w:ind w:right="41"/>
              <w:jc w:val="center"/>
              <w:rPr>
                <w:rFonts w:cs="Arial"/>
              </w:rPr>
            </w:pPr>
            <w:r w:rsidRPr="004A4A9A">
              <w:rPr>
                <w:rFonts w:cs="Arial"/>
              </w:rPr>
              <w:t>Ανώτατο ποσό δημόσιας επιχορήγησης (συμπεριλαμβανομένου Φ.Π.Α.)</w:t>
            </w:r>
          </w:p>
        </w:tc>
      </w:tr>
      <w:tr w:rsidR="004A4A9A" w:rsidRPr="004A4A9A" w14:paraId="437318BC" w14:textId="77777777" w:rsidTr="00CD37B1">
        <w:tc>
          <w:tcPr>
            <w:tcW w:w="2972" w:type="dxa"/>
          </w:tcPr>
          <w:p w14:paraId="0C37140C" w14:textId="77777777" w:rsidR="004A4A9A" w:rsidRPr="004A4A9A" w:rsidRDefault="004A4A9A" w:rsidP="004A4A9A">
            <w:pPr>
              <w:spacing w:after="0" w:line="240" w:lineRule="auto"/>
              <w:ind w:right="41"/>
              <w:jc w:val="center"/>
              <w:rPr>
                <w:rFonts w:cs="Arial"/>
              </w:rPr>
            </w:pPr>
            <w:r w:rsidRPr="004A4A9A">
              <w:rPr>
                <w:rFonts w:cs="Arial"/>
              </w:rPr>
              <w:t>1</w:t>
            </w:r>
          </w:p>
        </w:tc>
        <w:tc>
          <w:tcPr>
            <w:tcW w:w="3955" w:type="dxa"/>
          </w:tcPr>
          <w:p w14:paraId="3808C4CF" w14:textId="77777777" w:rsidR="004A4A9A" w:rsidRPr="004A4A9A" w:rsidRDefault="004A4A9A" w:rsidP="004A4A9A">
            <w:pPr>
              <w:spacing w:after="0" w:line="240" w:lineRule="auto"/>
              <w:ind w:right="41"/>
              <w:jc w:val="center"/>
              <w:rPr>
                <w:rFonts w:cs="Arial"/>
              </w:rPr>
            </w:pPr>
            <w:r w:rsidRPr="004A4A9A">
              <w:rPr>
                <w:rFonts w:cs="Arial"/>
              </w:rPr>
              <w:t>3.400,00€</w:t>
            </w:r>
          </w:p>
        </w:tc>
      </w:tr>
      <w:tr w:rsidR="004A4A9A" w:rsidRPr="004A4A9A" w14:paraId="32323A35" w14:textId="77777777" w:rsidTr="00CD37B1">
        <w:tc>
          <w:tcPr>
            <w:tcW w:w="2972" w:type="dxa"/>
          </w:tcPr>
          <w:p w14:paraId="3188AE7A" w14:textId="77777777" w:rsidR="004A4A9A" w:rsidRPr="004A4A9A" w:rsidRDefault="004A4A9A" w:rsidP="004A4A9A">
            <w:pPr>
              <w:spacing w:after="0" w:line="240" w:lineRule="auto"/>
              <w:ind w:right="41"/>
              <w:jc w:val="center"/>
              <w:rPr>
                <w:rFonts w:cs="Arial"/>
              </w:rPr>
            </w:pPr>
            <w:r w:rsidRPr="004A4A9A">
              <w:rPr>
                <w:rFonts w:cs="Arial"/>
              </w:rPr>
              <w:lastRenderedPageBreak/>
              <w:t>2</w:t>
            </w:r>
          </w:p>
        </w:tc>
        <w:tc>
          <w:tcPr>
            <w:tcW w:w="3955" w:type="dxa"/>
          </w:tcPr>
          <w:p w14:paraId="639A516A" w14:textId="77777777" w:rsidR="004A4A9A" w:rsidRPr="004A4A9A" w:rsidRDefault="004A4A9A" w:rsidP="004A4A9A">
            <w:pPr>
              <w:spacing w:after="0" w:line="240" w:lineRule="auto"/>
              <w:ind w:right="41"/>
              <w:jc w:val="center"/>
              <w:rPr>
                <w:rFonts w:cs="Arial"/>
              </w:rPr>
            </w:pPr>
            <w:r w:rsidRPr="004A4A9A">
              <w:rPr>
                <w:rFonts w:cs="Arial"/>
              </w:rPr>
              <w:t>6.800,00€</w:t>
            </w:r>
          </w:p>
        </w:tc>
      </w:tr>
      <w:tr w:rsidR="004A4A9A" w:rsidRPr="004A4A9A" w14:paraId="27E30FF6" w14:textId="77777777" w:rsidTr="00CD37B1">
        <w:tc>
          <w:tcPr>
            <w:tcW w:w="2972" w:type="dxa"/>
          </w:tcPr>
          <w:p w14:paraId="4BEFCFE8" w14:textId="77777777" w:rsidR="004A4A9A" w:rsidRPr="004A4A9A" w:rsidRDefault="004A4A9A" w:rsidP="004A4A9A">
            <w:pPr>
              <w:spacing w:after="0" w:line="240" w:lineRule="auto"/>
              <w:ind w:right="41"/>
              <w:jc w:val="center"/>
              <w:rPr>
                <w:rFonts w:cs="Arial"/>
              </w:rPr>
            </w:pPr>
            <w:r w:rsidRPr="004A4A9A">
              <w:rPr>
                <w:rFonts w:cs="Arial"/>
              </w:rPr>
              <w:t>3</w:t>
            </w:r>
          </w:p>
        </w:tc>
        <w:tc>
          <w:tcPr>
            <w:tcW w:w="3955" w:type="dxa"/>
          </w:tcPr>
          <w:p w14:paraId="4A07CA27" w14:textId="77777777" w:rsidR="004A4A9A" w:rsidRPr="004A4A9A" w:rsidRDefault="004A4A9A" w:rsidP="004A4A9A">
            <w:pPr>
              <w:spacing w:after="0" w:line="240" w:lineRule="auto"/>
              <w:ind w:right="41"/>
              <w:jc w:val="center"/>
              <w:rPr>
                <w:rFonts w:cs="Arial"/>
                <w:b/>
                <w:bCs/>
              </w:rPr>
            </w:pPr>
            <w:r w:rsidRPr="004A4A9A">
              <w:rPr>
                <w:rFonts w:cs="Arial"/>
              </w:rPr>
              <w:t>10.200,00€</w:t>
            </w:r>
          </w:p>
        </w:tc>
      </w:tr>
      <w:tr w:rsidR="004A4A9A" w:rsidRPr="004A4A9A" w14:paraId="68CB44B0" w14:textId="77777777" w:rsidTr="00CD37B1">
        <w:tc>
          <w:tcPr>
            <w:tcW w:w="2972" w:type="dxa"/>
          </w:tcPr>
          <w:p w14:paraId="4CE82962" w14:textId="77777777" w:rsidR="004A4A9A" w:rsidRPr="004A4A9A" w:rsidRDefault="004A4A9A" w:rsidP="004A4A9A">
            <w:pPr>
              <w:spacing w:after="0" w:line="240" w:lineRule="auto"/>
              <w:ind w:right="41"/>
              <w:jc w:val="center"/>
              <w:rPr>
                <w:rFonts w:cs="Arial"/>
              </w:rPr>
            </w:pPr>
            <w:r w:rsidRPr="004A4A9A">
              <w:rPr>
                <w:rFonts w:cs="Arial"/>
              </w:rPr>
              <w:t>ν*</w:t>
            </w:r>
          </w:p>
        </w:tc>
        <w:tc>
          <w:tcPr>
            <w:tcW w:w="3955" w:type="dxa"/>
          </w:tcPr>
          <w:p w14:paraId="0188665A" w14:textId="77777777" w:rsidR="004A4A9A" w:rsidRPr="004A4A9A" w:rsidRDefault="004A4A9A" w:rsidP="004A4A9A">
            <w:pPr>
              <w:spacing w:after="0" w:line="240" w:lineRule="auto"/>
              <w:ind w:right="41"/>
              <w:jc w:val="center"/>
              <w:rPr>
                <w:rFonts w:cs="Arial"/>
                <w:b/>
                <w:bCs/>
              </w:rPr>
            </w:pPr>
            <w:r w:rsidRPr="004A4A9A">
              <w:rPr>
                <w:rFonts w:cs="Arial"/>
              </w:rPr>
              <w:t>ν Χ 3.400,00€</w:t>
            </w:r>
          </w:p>
        </w:tc>
      </w:tr>
    </w:tbl>
    <w:p w14:paraId="59170468" w14:textId="77777777" w:rsidR="004A4A9A" w:rsidRPr="004A4A9A" w:rsidRDefault="004A4A9A" w:rsidP="004A4A9A">
      <w:pPr>
        <w:spacing w:after="0" w:line="240" w:lineRule="auto"/>
        <w:ind w:left="567"/>
        <w:jc w:val="both"/>
        <w:rPr>
          <w:rFonts w:eastAsia="Calibri" w:cs="Arial"/>
          <w:b/>
          <w:bCs/>
          <w:kern w:val="2"/>
          <w:sz w:val="22"/>
          <w:szCs w:val="22"/>
        </w:rPr>
      </w:pPr>
      <w:r w:rsidRPr="004A4A9A">
        <w:rPr>
          <w:rFonts w:eastAsia="Calibri" w:cs="Arial"/>
          <w:i/>
          <w:iCs/>
          <w:kern w:val="2"/>
          <w:sz w:val="22"/>
          <w:szCs w:val="22"/>
        </w:rPr>
        <w:t>* όπου ν ο αριθμός των θέσεων που θα δημιουργηθούν από την υλοποίηση του Επενδυτικού σχεδίου</w:t>
      </w:r>
    </w:p>
    <w:p w14:paraId="2546ACE7" w14:textId="77777777" w:rsidR="00B10028" w:rsidRPr="00B10028" w:rsidRDefault="00B10028" w:rsidP="004A4A9A">
      <w:pPr>
        <w:spacing w:after="0" w:line="240" w:lineRule="auto"/>
        <w:jc w:val="both"/>
        <w:rPr>
          <w:rFonts w:eastAsia="Calibri" w:cs="Arial"/>
          <w:kern w:val="2"/>
          <w:sz w:val="22"/>
          <w:szCs w:val="22"/>
        </w:rPr>
      </w:pPr>
    </w:p>
    <w:p w14:paraId="6310E15F" w14:textId="36F3A290" w:rsidR="004A4A9A" w:rsidRDefault="004A4A9A" w:rsidP="004A4A9A">
      <w:pPr>
        <w:spacing w:after="0" w:line="240" w:lineRule="auto"/>
        <w:jc w:val="both"/>
        <w:rPr>
          <w:rFonts w:eastAsia="Calibri" w:cs="Arial"/>
          <w:kern w:val="2"/>
          <w:sz w:val="22"/>
          <w:szCs w:val="22"/>
        </w:rPr>
      </w:pPr>
      <w:r w:rsidRPr="004A4A9A">
        <w:rPr>
          <w:rFonts w:eastAsia="Calibri" w:cs="Arial"/>
          <w:kern w:val="2"/>
          <w:sz w:val="22"/>
          <w:szCs w:val="22"/>
        </w:rPr>
        <w:t xml:space="preserve">Σημειώνεται ότι ο Φόρος Προστιθέμενης Αξίας (ΦΠΑ) των επιλέξιμων δαπανών θεωρείται επιλέξιμη δαπάνη με την προϋπόθεση ότι ο δικαιούχος απαλλάσσεται από το καθεστώς Φ.Π.Α., σύμφωνα με τις διατάξεις του κώδικα Φ.Π.Α. όπως εκάστοτε ισχύει και όπως αποδεικνύεται με σχετική βεβαίωση από την αρμόδια Δ.Ο.Υ. ή από ορκωτό λογιστή ή από κατάλληλες λογιστικές εγγραφές. Ο Φ.Π.Α. που μπορεί να ανακτηθεί ή συμψηφιστεί με οποιονδήποτε τρόπο δεν μπορεί να θεωρηθεί επιλέξιμη δαπάνη, ακόμη και αν δεν ανακτάται από τον φορέα. </w:t>
      </w:r>
    </w:p>
    <w:p w14:paraId="16DD8D14" w14:textId="77777777" w:rsidR="00B10028" w:rsidRPr="00B10028" w:rsidRDefault="00B10028" w:rsidP="00B10028">
      <w:pPr>
        <w:spacing w:after="0" w:line="240" w:lineRule="auto"/>
        <w:jc w:val="both"/>
        <w:rPr>
          <w:rFonts w:cs="Calibri"/>
          <w:sz w:val="22"/>
          <w:szCs w:val="22"/>
        </w:rPr>
      </w:pPr>
    </w:p>
    <w:p w14:paraId="4C79FFBF" w14:textId="77777777" w:rsidR="00B10028" w:rsidRPr="00B10028" w:rsidRDefault="00B10028" w:rsidP="00B10028">
      <w:pPr>
        <w:spacing w:after="0" w:line="240" w:lineRule="auto"/>
        <w:jc w:val="both"/>
        <w:rPr>
          <w:rFonts w:cs="Calibri"/>
          <w:sz w:val="22"/>
          <w:szCs w:val="22"/>
        </w:rPr>
      </w:pPr>
      <w:r w:rsidRPr="00B10028">
        <w:rPr>
          <w:rFonts w:cs="Calibri"/>
          <w:sz w:val="22"/>
          <w:szCs w:val="22"/>
        </w:rPr>
        <w:t>Σε περίπτωση που οι δαπάνες του δικαιούχου υπερβαίνουν το μέγιστο ύψος της ενίσχυσης, ο δικαιούχος καλύπτει τη διαφορά με ίδια κεφάλαια.</w:t>
      </w:r>
    </w:p>
    <w:p w14:paraId="69ACC022" w14:textId="77777777" w:rsidR="00B10028" w:rsidRPr="00B10028" w:rsidRDefault="00B10028" w:rsidP="00B10028">
      <w:pPr>
        <w:spacing w:after="0" w:line="240" w:lineRule="auto"/>
        <w:jc w:val="both"/>
        <w:rPr>
          <w:rFonts w:eastAsia="Calibri" w:cs="Arial"/>
          <w:kern w:val="2"/>
          <w:sz w:val="22"/>
          <w:szCs w:val="22"/>
        </w:rPr>
      </w:pPr>
    </w:p>
    <w:p w14:paraId="49FFF738" w14:textId="77777777" w:rsidR="00B10028" w:rsidRPr="00B10028" w:rsidRDefault="00B10028" w:rsidP="00B10028">
      <w:pPr>
        <w:tabs>
          <w:tab w:val="left" w:pos="780"/>
        </w:tabs>
        <w:spacing w:after="0" w:line="240" w:lineRule="auto"/>
        <w:ind w:right="-23"/>
        <w:jc w:val="both"/>
        <w:rPr>
          <w:rFonts w:cs="Calibri"/>
          <w:sz w:val="22"/>
          <w:szCs w:val="22"/>
        </w:rPr>
      </w:pPr>
      <w:r w:rsidRPr="00B10028">
        <w:rPr>
          <w:rFonts w:cs="Calibri"/>
          <w:sz w:val="22"/>
          <w:szCs w:val="22"/>
        </w:rPr>
        <w:t>Οι δυνητικοί δικαιούχοι μπορούν να</w:t>
      </w:r>
      <w:r w:rsidRPr="00B10028">
        <w:rPr>
          <w:rFonts w:cs="Calibri"/>
          <w:spacing w:val="-12"/>
          <w:sz w:val="22"/>
          <w:szCs w:val="22"/>
        </w:rPr>
        <w:t xml:space="preserve"> </w:t>
      </w:r>
      <w:r w:rsidRPr="00B10028">
        <w:rPr>
          <w:rFonts w:cs="Calibri"/>
          <w:sz w:val="22"/>
          <w:szCs w:val="22"/>
        </w:rPr>
        <w:t>υποβάλουν</w:t>
      </w:r>
      <w:r w:rsidRPr="00B10028">
        <w:rPr>
          <w:rFonts w:cs="Calibri"/>
          <w:spacing w:val="-12"/>
          <w:sz w:val="22"/>
          <w:szCs w:val="22"/>
        </w:rPr>
        <w:t xml:space="preserve"> </w:t>
      </w:r>
      <w:r w:rsidRPr="00B10028">
        <w:rPr>
          <w:rFonts w:cs="Calibri"/>
          <w:sz w:val="22"/>
          <w:szCs w:val="22"/>
        </w:rPr>
        <w:t>μία</w:t>
      </w:r>
      <w:r w:rsidRPr="00B10028">
        <w:rPr>
          <w:rFonts w:cs="Calibri"/>
          <w:spacing w:val="-12"/>
          <w:sz w:val="22"/>
          <w:szCs w:val="22"/>
        </w:rPr>
        <w:t xml:space="preserve"> </w:t>
      </w:r>
      <w:r w:rsidRPr="00B10028">
        <w:rPr>
          <w:rFonts w:cs="Calibri"/>
          <w:sz w:val="22"/>
          <w:szCs w:val="22"/>
        </w:rPr>
        <w:t>μόνο</w:t>
      </w:r>
      <w:r w:rsidRPr="00B10028">
        <w:rPr>
          <w:rFonts w:cs="Calibri"/>
          <w:spacing w:val="-12"/>
          <w:sz w:val="22"/>
          <w:szCs w:val="22"/>
        </w:rPr>
        <w:t xml:space="preserve"> </w:t>
      </w:r>
      <w:r w:rsidRPr="00B10028">
        <w:rPr>
          <w:rFonts w:cs="Calibri"/>
          <w:sz w:val="22"/>
          <w:szCs w:val="22"/>
        </w:rPr>
        <w:t>αίτηση</w:t>
      </w:r>
      <w:r w:rsidRPr="00B10028">
        <w:rPr>
          <w:rFonts w:cs="Calibri"/>
          <w:spacing w:val="-12"/>
          <w:sz w:val="22"/>
          <w:szCs w:val="22"/>
        </w:rPr>
        <w:t xml:space="preserve"> </w:t>
      </w:r>
      <w:r w:rsidRPr="00B10028">
        <w:rPr>
          <w:rFonts w:cs="Calibri"/>
          <w:sz w:val="22"/>
          <w:szCs w:val="22"/>
        </w:rPr>
        <w:t>χρηματοδότησης</w:t>
      </w:r>
      <w:r w:rsidRPr="00B10028">
        <w:rPr>
          <w:rFonts w:cs="Calibri"/>
          <w:spacing w:val="-12"/>
          <w:sz w:val="22"/>
          <w:szCs w:val="22"/>
        </w:rPr>
        <w:t xml:space="preserve"> </w:t>
      </w:r>
      <w:r w:rsidRPr="00B10028">
        <w:rPr>
          <w:rFonts w:cs="Calibri"/>
          <w:sz w:val="22"/>
          <w:szCs w:val="22"/>
        </w:rPr>
        <w:t>ανά</w:t>
      </w:r>
      <w:r w:rsidRPr="00B10028">
        <w:rPr>
          <w:rFonts w:cs="Calibri"/>
          <w:spacing w:val="-12"/>
          <w:sz w:val="22"/>
          <w:szCs w:val="22"/>
        </w:rPr>
        <w:t xml:space="preserve"> </w:t>
      </w:r>
      <w:r w:rsidRPr="00B10028">
        <w:rPr>
          <w:rFonts w:cs="Calibri"/>
          <w:sz w:val="22"/>
          <w:szCs w:val="22"/>
        </w:rPr>
        <w:t>ΑΦΜ</w:t>
      </w:r>
      <w:r w:rsidRPr="00B10028">
        <w:rPr>
          <w:rFonts w:cs="Calibri"/>
          <w:spacing w:val="-12"/>
          <w:sz w:val="22"/>
          <w:szCs w:val="22"/>
        </w:rPr>
        <w:t xml:space="preserve">. </w:t>
      </w:r>
      <w:r w:rsidRPr="00B10028">
        <w:rPr>
          <w:rFonts w:cs="Calibri"/>
          <w:sz w:val="22"/>
          <w:szCs w:val="22"/>
        </w:rPr>
        <w:t xml:space="preserve">Συνεπώς, εάν οι βρεφονηπιακοί σταθμοί λειτουργούν ως «υποκαταστήματα» κάτω από το ίδιο ΑΦΜ (και όχι ως αυτόνομές νομικές οντότητες), </w:t>
      </w:r>
      <w:r w:rsidRPr="00B10028">
        <w:rPr>
          <w:rFonts w:cs="Calibri"/>
          <w:b/>
          <w:bCs/>
          <w:sz w:val="22"/>
          <w:szCs w:val="22"/>
        </w:rPr>
        <w:t>υποβάλλεται μια και μοναδική πρόταση</w:t>
      </w:r>
      <w:r w:rsidRPr="00B10028">
        <w:rPr>
          <w:rFonts w:cs="Calibri"/>
          <w:sz w:val="22"/>
          <w:szCs w:val="22"/>
        </w:rPr>
        <w:t>, που όμως μπορεί να περιλαμβάνει δαπάνες που καλύπτουν ανάγκες και στους άλλους βρεφονηπιακούς, εφόσον βρίσκονται εντός της ίδιας Περιφέρειας.</w:t>
      </w:r>
    </w:p>
    <w:p w14:paraId="7BBBEBFE" w14:textId="77777777" w:rsidR="00B10028" w:rsidRDefault="00B10028" w:rsidP="00B10028">
      <w:pPr>
        <w:tabs>
          <w:tab w:val="left" w:pos="780"/>
        </w:tabs>
        <w:spacing w:after="0" w:line="240" w:lineRule="auto"/>
        <w:ind w:right="-23"/>
        <w:jc w:val="both"/>
        <w:rPr>
          <w:rFonts w:cs="Calibri"/>
          <w:sz w:val="22"/>
          <w:szCs w:val="22"/>
        </w:rPr>
      </w:pPr>
      <w:r w:rsidRPr="00B10028">
        <w:rPr>
          <w:rFonts w:cs="Calibri"/>
          <w:sz w:val="22"/>
          <w:szCs w:val="22"/>
        </w:rPr>
        <w:t>Εάν όμως κάθε βρεφονηπιακός είναι ανεξάρτητη επιχείρηση με δικό του ΑΦΜ, τότε μπορούν να υποβληθούν ξεχωριστές προτάσεις. Επιχειρήσεις-</w:t>
      </w:r>
      <w:r w:rsidRPr="00B10028">
        <w:rPr>
          <w:rFonts w:cs="Calibri"/>
          <w:spacing w:val="-11"/>
          <w:sz w:val="22"/>
          <w:szCs w:val="22"/>
        </w:rPr>
        <w:t xml:space="preserve"> </w:t>
      </w:r>
      <w:r w:rsidRPr="00B10028">
        <w:rPr>
          <w:rFonts w:cs="Calibri"/>
          <w:sz w:val="22"/>
          <w:szCs w:val="22"/>
        </w:rPr>
        <w:t>εργοδότες</w:t>
      </w:r>
      <w:r w:rsidRPr="00B10028">
        <w:rPr>
          <w:rFonts w:cs="Calibri"/>
          <w:spacing w:val="-11"/>
          <w:sz w:val="22"/>
          <w:szCs w:val="22"/>
        </w:rPr>
        <w:t xml:space="preserve"> </w:t>
      </w:r>
      <w:r w:rsidRPr="00B10028">
        <w:rPr>
          <w:rFonts w:cs="Calibri"/>
          <w:sz w:val="22"/>
          <w:szCs w:val="22"/>
        </w:rPr>
        <w:t>που</w:t>
      </w:r>
      <w:r w:rsidRPr="00B10028">
        <w:rPr>
          <w:rFonts w:cs="Calibri"/>
          <w:spacing w:val="-11"/>
          <w:sz w:val="22"/>
          <w:szCs w:val="22"/>
        </w:rPr>
        <w:t xml:space="preserve"> </w:t>
      </w:r>
      <w:r w:rsidRPr="00B10028">
        <w:rPr>
          <w:rFonts w:cs="Calibri"/>
          <w:sz w:val="22"/>
          <w:szCs w:val="22"/>
        </w:rPr>
        <w:t>υποβάλλουν</w:t>
      </w:r>
      <w:r w:rsidRPr="00B10028">
        <w:rPr>
          <w:rFonts w:cs="Calibri"/>
          <w:spacing w:val="-11"/>
          <w:sz w:val="22"/>
          <w:szCs w:val="22"/>
        </w:rPr>
        <w:t xml:space="preserve"> </w:t>
      </w:r>
      <w:r w:rsidRPr="00B10028">
        <w:rPr>
          <w:rFonts w:cs="Calibri"/>
          <w:sz w:val="22"/>
          <w:szCs w:val="22"/>
        </w:rPr>
        <w:t>αίτηση</w:t>
      </w:r>
      <w:r w:rsidRPr="00B10028">
        <w:rPr>
          <w:rFonts w:cs="Calibri"/>
          <w:spacing w:val="-11"/>
          <w:sz w:val="22"/>
          <w:szCs w:val="22"/>
        </w:rPr>
        <w:t xml:space="preserve"> </w:t>
      </w:r>
      <w:r w:rsidRPr="00B10028">
        <w:rPr>
          <w:rFonts w:cs="Calibri"/>
          <w:sz w:val="22"/>
          <w:szCs w:val="22"/>
        </w:rPr>
        <w:t>ως</w:t>
      </w:r>
      <w:r w:rsidRPr="00B10028">
        <w:rPr>
          <w:rFonts w:cs="Calibri"/>
          <w:spacing w:val="-11"/>
          <w:sz w:val="22"/>
          <w:szCs w:val="22"/>
        </w:rPr>
        <w:t xml:space="preserve"> </w:t>
      </w:r>
      <w:r w:rsidRPr="00B10028">
        <w:rPr>
          <w:rFonts w:cs="Calibri"/>
          <w:sz w:val="22"/>
          <w:szCs w:val="22"/>
        </w:rPr>
        <w:t>κοινοπραξία</w:t>
      </w:r>
      <w:r w:rsidRPr="00B10028">
        <w:rPr>
          <w:rFonts w:cs="Calibri"/>
          <w:spacing w:val="-11"/>
          <w:sz w:val="22"/>
          <w:szCs w:val="22"/>
        </w:rPr>
        <w:t xml:space="preserve"> </w:t>
      </w:r>
      <w:r w:rsidRPr="00B10028">
        <w:rPr>
          <w:rFonts w:cs="Calibri"/>
          <w:sz w:val="22"/>
          <w:szCs w:val="22"/>
        </w:rPr>
        <w:t>δεν</w:t>
      </w:r>
      <w:r w:rsidRPr="00B10028">
        <w:rPr>
          <w:rFonts w:cs="Calibri"/>
          <w:spacing w:val="-11"/>
          <w:sz w:val="22"/>
          <w:szCs w:val="22"/>
        </w:rPr>
        <w:t xml:space="preserve"> </w:t>
      </w:r>
      <w:r w:rsidRPr="00B10028">
        <w:rPr>
          <w:rFonts w:cs="Calibri"/>
          <w:sz w:val="22"/>
          <w:szCs w:val="22"/>
        </w:rPr>
        <w:t>επιτρέπεται</w:t>
      </w:r>
      <w:r w:rsidRPr="00B10028">
        <w:rPr>
          <w:rFonts w:cs="Calibri"/>
          <w:spacing w:val="-11"/>
          <w:sz w:val="22"/>
          <w:szCs w:val="22"/>
        </w:rPr>
        <w:t xml:space="preserve"> </w:t>
      </w:r>
      <w:r w:rsidRPr="00B10028">
        <w:rPr>
          <w:rFonts w:cs="Calibri"/>
          <w:sz w:val="22"/>
          <w:szCs w:val="22"/>
        </w:rPr>
        <w:t>να</w:t>
      </w:r>
      <w:r w:rsidRPr="00B10028">
        <w:rPr>
          <w:rFonts w:cs="Calibri"/>
          <w:spacing w:val="-11"/>
          <w:sz w:val="22"/>
          <w:szCs w:val="22"/>
        </w:rPr>
        <w:t xml:space="preserve"> </w:t>
      </w:r>
      <w:r w:rsidRPr="00B10028">
        <w:rPr>
          <w:rFonts w:cs="Calibri"/>
          <w:sz w:val="22"/>
          <w:szCs w:val="22"/>
        </w:rPr>
        <w:t>υποβάλουν</w:t>
      </w:r>
      <w:r w:rsidRPr="00B10028">
        <w:rPr>
          <w:rFonts w:cs="Calibri"/>
          <w:spacing w:val="-11"/>
          <w:sz w:val="22"/>
          <w:szCs w:val="22"/>
        </w:rPr>
        <w:t xml:space="preserve"> </w:t>
      </w:r>
      <w:r w:rsidRPr="00B10028">
        <w:rPr>
          <w:rFonts w:cs="Calibri"/>
          <w:sz w:val="22"/>
          <w:szCs w:val="22"/>
        </w:rPr>
        <w:t>αίτηση</w:t>
      </w:r>
      <w:r w:rsidRPr="00B10028">
        <w:rPr>
          <w:rFonts w:cs="Calibri"/>
          <w:spacing w:val="-11"/>
          <w:sz w:val="22"/>
          <w:szCs w:val="22"/>
        </w:rPr>
        <w:t xml:space="preserve"> </w:t>
      </w:r>
      <w:r w:rsidRPr="00B10028">
        <w:rPr>
          <w:rFonts w:cs="Calibri"/>
          <w:sz w:val="22"/>
          <w:szCs w:val="22"/>
        </w:rPr>
        <w:t>και</w:t>
      </w:r>
      <w:r w:rsidRPr="00B10028">
        <w:rPr>
          <w:rFonts w:cs="Calibri"/>
          <w:spacing w:val="-11"/>
          <w:sz w:val="22"/>
          <w:szCs w:val="22"/>
        </w:rPr>
        <w:t xml:space="preserve"> </w:t>
      </w:r>
      <w:r w:rsidRPr="00B10028">
        <w:rPr>
          <w:rFonts w:cs="Calibri"/>
          <w:sz w:val="22"/>
          <w:szCs w:val="22"/>
        </w:rPr>
        <w:t>ως</w:t>
      </w:r>
      <w:r w:rsidRPr="00B10028">
        <w:rPr>
          <w:rFonts w:cs="Calibri"/>
          <w:spacing w:val="-11"/>
          <w:sz w:val="22"/>
          <w:szCs w:val="22"/>
        </w:rPr>
        <w:t xml:space="preserve"> </w:t>
      </w:r>
      <w:r w:rsidRPr="00B10028">
        <w:rPr>
          <w:rFonts w:cs="Calibri"/>
          <w:sz w:val="22"/>
          <w:szCs w:val="22"/>
        </w:rPr>
        <w:t>μεμονωμένα</w:t>
      </w:r>
      <w:r w:rsidRPr="00B10028">
        <w:rPr>
          <w:rFonts w:cs="Calibri"/>
          <w:spacing w:val="-11"/>
          <w:sz w:val="22"/>
          <w:szCs w:val="22"/>
        </w:rPr>
        <w:t xml:space="preserve"> </w:t>
      </w:r>
      <w:r w:rsidRPr="00B10028">
        <w:rPr>
          <w:rFonts w:cs="Calibri"/>
          <w:sz w:val="22"/>
          <w:szCs w:val="22"/>
        </w:rPr>
        <w:t xml:space="preserve">φυσικά ή νομικά πρόσωπα. </w:t>
      </w:r>
    </w:p>
    <w:p w14:paraId="747CCB03" w14:textId="77777777" w:rsidR="00B10028" w:rsidRPr="00B10028" w:rsidRDefault="00B10028" w:rsidP="00B10028">
      <w:pPr>
        <w:tabs>
          <w:tab w:val="left" w:pos="780"/>
        </w:tabs>
        <w:spacing w:after="0" w:line="240" w:lineRule="auto"/>
        <w:ind w:right="-23"/>
        <w:jc w:val="both"/>
        <w:rPr>
          <w:rFonts w:cs="Calibri"/>
          <w:sz w:val="22"/>
          <w:szCs w:val="22"/>
        </w:rPr>
      </w:pPr>
    </w:p>
    <w:p w14:paraId="67E62717" w14:textId="77777777" w:rsidR="00B10028" w:rsidRPr="00B10028" w:rsidRDefault="00B10028" w:rsidP="00B10028">
      <w:pPr>
        <w:pStyle w:val="ListParagraph"/>
        <w:widowControl w:val="0"/>
        <w:spacing w:after="0" w:line="240" w:lineRule="auto"/>
        <w:ind w:left="0" w:right="40"/>
        <w:jc w:val="both"/>
        <w:rPr>
          <w:rFonts w:cs="Calibri"/>
          <w:b/>
          <w:bCs/>
          <w:spacing w:val="1"/>
          <w:sz w:val="22"/>
          <w:szCs w:val="22"/>
        </w:rPr>
      </w:pPr>
      <w:r w:rsidRPr="00B10028">
        <w:rPr>
          <w:rFonts w:cs="Calibri"/>
          <w:b/>
          <w:bCs/>
          <w:spacing w:val="1"/>
          <w:sz w:val="22"/>
          <w:szCs w:val="22"/>
        </w:rPr>
        <w:t xml:space="preserve">Η ενίσχυση στους δικαιούχους θα καταβληθεί με: </w:t>
      </w:r>
    </w:p>
    <w:p w14:paraId="03768729" w14:textId="77777777" w:rsidR="00B10028" w:rsidRPr="00B10028" w:rsidRDefault="00B10028" w:rsidP="00B10028">
      <w:pPr>
        <w:pStyle w:val="ListParagraph"/>
        <w:numPr>
          <w:ilvl w:val="0"/>
          <w:numId w:val="22"/>
        </w:numPr>
        <w:spacing w:after="0" w:line="240" w:lineRule="auto"/>
        <w:ind w:right="41"/>
        <w:jc w:val="both"/>
        <w:rPr>
          <w:rFonts w:cs="Calibri"/>
          <w:spacing w:val="1"/>
          <w:sz w:val="22"/>
          <w:szCs w:val="22"/>
        </w:rPr>
      </w:pPr>
      <w:r w:rsidRPr="00B10028">
        <w:rPr>
          <w:rFonts w:cs="Calibri"/>
          <w:spacing w:val="1"/>
          <w:sz w:val="22"/>
          <w:szCs w:val="22"/>
        </w:rPr>
        <w:t xml:space="preserve">Καταβολή προκαταβολής 40% </w:t>
      </w:r>
      <w:r w:rsidRPr="00B10028">
        <w:rPr>
          <w:rFonts w:cs="Calibri"/>
          <w:bCs/>
          <w:sz w:val="22"/>
          <w:szCs w:val="22"/>
        </w:rPr>
        <w:t>της δημόσιας χρηματοδότησης</w:t>
      </w:r>
      <w:r w:rsidRPr="00B10028">
        <w:rPr>
          <w:rFonts w:cs="Calibri"/>
          <w:sz w:val="22"/>
          <w:szCs w:val="22"/>
        </w:rPr>
        <w:t xml:space="preserve">, </w:t>
      </w:r>
      <w:r w:rsidRPr="00B10028">
        <w:rPr>
          <w:rFonts w:cs="Calibri"/>
          <w:spacing w:val="1"/>
          <w:sz w:val="22"/>
          <w:szCs w:val="22"/>
          <w:u w:val="single"/>
        </w:rPr>
        <w:t>εφόσον ζητηθεί</w:t>
      </w:r>
      <w:r w:rsidRPr="00B10028">
        <w:rPr>
          <w:rFonts w:cs="Calibri"/>
          <w:spacing w:val="1"/>
          <w:sz w:val="22"/>
          <w:szCs w:val="22"/>
        </w:rPr>
        <w:t xml:space="preserve">, </w:t>
      </w:r>
      <w:r w:rsidRPr="00B10028">
        <w:rPr>
          <w:rFonts w:cs="Calibri"/>
          <w:sz w:val="22"/>
          <w:szCs w:val="22"/>
        </w:rPr>
        <w:t>με την προσκόμιση ισόποσης εγγυητικής επιστολής,</w:t>
      </w:r>
    </w:p>
    <w:p w14:paraId="752BCF49" w14:textId="77777777" w:rsidR="00B10028" w:rsidRPr="00B10028" w:rsidRDefault="00B10028" w:rsidP="00B10028">
      <w:pPr>
        <w:pStyle w:val="ListParagraph"/>
        <w:numPr>
          <w:ilvl w:val="0"/>
          <w:numId w:val="22"/>
        </w:numPr>
        <w:spacing w:after="0" w:line="240" w:lineRule="auto"/>
        <w:ind w:right="41"/>
        <w:jc w:val="both"/>
        <w:rPr>
          <w:rFonts w:cs="Calibri"/>
          <w:spacing w:val="1"/>
          <w:sz w:val="22"/>
          <w:szCs w:val="22"/>
        </w:rPr>
      </w:pPr>
      <w:r w:rsidRPr="00B10028">
        <w:rPr>
          <w:rFonts w:cs="Calibri"/>
          <w:spacing w:val="1"/>
          <w:sz w:val="22"/>
          <w:szCs w:val="22"/>
        </w:rPr>
        <w:t>Ενδιάμεση/</w:t>
      </w:r>
      <w:proofErr w:type="spellStart"/>
      <w:r w:rsidRPr="00B10028">
        <w:rPr>
          <w:rFonts w:cs="Calibri"/>
          <w:spacing w:val="1"/>
          <w:sz w:val="22"/>
          <w:szCs w:val="22"/>
        </w:rPr>
        <w:t>σες</w:t>
      </w:r>
      <w:proofErr w:type="spellEnd"/>
      <w:r w:rsidRPr="00B10028">
        <w:rPr>
          <w:rFonts w:cs="Calibri"/>
          <w:spacing w:val="1"/>
          <w:sz w:val="22"/>
          <w:szCs w:val="22"/>
        </w:rPr>
        <w:t xml:space="preserve"> καταβολή/</w:t>
      </w:r>
      <w:proofErr w:type="spellStart"/>
      <w:r w:rsidRPr="00B10028">
        <w:rPr>
          <w:rFonts w:cs="Calibri"/>
          <w:spacing w:val="1"/>
          <w:sz w:val="22"/>
          <w:szCs w:val="22"/>
        </w:rPr>
        <w:t>λές</w:t>
      </w:r>
      <w:proofErr w:type="spellEnd"/>
      <w:r w:rsidRPr="00B10028">
        <w:rPr>
          <w:rFonts w:cs="Calibri"/>
          <w:spacing w:val="1"/>
          <w:sz w:val="22"/>
          <w:szCs w:val="22"/>
        </w:rPr>
        <w:t>,</w:t>
      </w:r>
    </w:p>
    <w:p w14:paraId="2CBC27D8" w14:textId="77777777" w:rsidR="00B10028" w:rsidRPr="00B10028" w:rsidRDefault="00B10028" w:rsidP="00B10028">
      <w:pPr>
        <w:pStyle w:val="ListParagraph"/>
        <w:numPr>
          <w:ilvl w:val="0"/>
          <w:numId w:val="22"/>
        </w:numPr>
        <w:spacing w:after="0" w:line="240" w:lineRule="auto"/>
        <w:ind w:right="41"/>
        <w:jc w:val="both"/>
        <w:rPr>
          <w:rFonts w:cs="Calibri"/>
          <w:spacing w:val="1"/>
          <w:sz w:val="22"/>
          <w:szCs w:val="22"/>
        </w:rPr>
      </w:pPr>
      <w:r w:rsidRPr="00B10028">
        <w:rPr>
          <w:rFonts w:cs="Calibri"/>
          <w:spacing w:val="1"/>
          <w:sz w:val="22"/>
          <w:szCs w:val="22"/>
        </w:rPr>
        <w:t>Αποπληρωμή</w:t>
      </w:r>
    </w:p>
    <w:p w14:paraId="7557A340" w14:textId="77777777" w:rsidR="00B10028" w:rsidRPr="00B10028" w:rsidRDefault="00B10028" w:rsidP="00B10028">
      <w:pPr>
        <w:tabs>
          <w:tab w:val="left" w:pos="780"/>
        </w:tabs>
        <w:spacing w:after="0" w:line="240" w:lineRule="auto"/>
        <w:ind w:right="-23"/>
        <w:jc w:val="both"/>
        <w:rPr>
          <w:rFonts w:cs="Calibri"/>
          <w:sz w:val="22"/>
          <w:szCs w:val="22"/>
        </w:rPr>
      </w:pPr>
    </w:p>
    <w:p w14:paraId="18843EFF" w14:textId="77777777" w:rsidR="004A4A9A" w:rsidRPr="004A4A9A" w:rsidRDefault="004A4A9A" w:rsidP="004A4A9A">
      <w:pPr>
        <w:spacing w:after="0" w:line="240" w:lineRule="auto"/>
        <w:jc w:val="both"/>
        <w:rPr>
          <w:rFonts w:eastAsiaTheme="minorHAnsi" w:cs="Arial"/>
          <w:b/>
          <w:bCs/>
          <w:kern w:val="2"/>
          <w:sz w:val="22"/>
          <w:szCs w:val="22"/>
          <w:u w:val="single"/>
        </w:rPr>
      </w:pPr>
      <w:r w:rsidRPr="004A4A9A">
        <w:rPr>
          <w:rFonts w:eastAsiaTheme="minorHAnsi" w:cs="Arial"/>
          <w:b/>
          <w:bCs/>
          <w:kern w:val="2"/>
          <w:sz w:val="22"/>
          <w:szCs w:val="22"/>
          <w:u w:val="single"/>
        </w:rPr>
        <w:t>ΜΕΘΟΔΟΣ ΚΑΙ Η ΔΙΑΔΙΚΑΣΙΑ ΑΞΙΟΛΟΓΗΣΗΣ</w:t>
      </w:r>
    </w:p>
    <w:p w14:paraId="24717FA0" w14:textId="77777777" w:rsidR="004A4A9A" w:rsidRPr="004A4A9A" w:rsidRDefault="004A4A9A" w:rsidP="004A4A9A">
      <w:pPr>
        <w:spacing w:after="0" w:line="240" w:lineRule="auto"/>
        <w:jc w:val="both"/>
        <w:rPr>
          <w:rFonts w:eastAsiaTheme="minorHAnsi" w:cs="Arial"/>
          <w:kern w:val="2"/>
          <w:sz w:val="22"/>
          <w:szCs w:val="22"/>
        </w:rPr>
      </w:pPr>
      <w:r w:rsidRPr="004A4A9A">
        <w:rPr>
          <w:rFonts w:eastAsiaTheme="minorHAnsi" w:cs="Arial"/>
          <w:kern w:val="2"/>
          <w:sz w:val="22"/>
          <w:szCs w:val="22"/>
        </w:rPr>
        <w:t xml:space="preserve">Οι υποβληθείσες αιτήσεις αξιολογούνται με τη μέθοδο της </w:t>
      </w:r>
      <w:r w:rsidRPr="004A4A9A">
        <w:rPr>
          <w:rFonts w:eastAsiaTheme="minorHAnsi" w:cs="Arial"/>
          <w:b/>
          <w:bCs/>
          <w:kern w:val="2"/>
          <w:sz w:val="22"/>
          <w:szCs w:val="22"/>
        </w:rPr>
        <w:t>άμεσης αξιολόγησης</w:t>
      </w:r>
      <w:r w:rsidRPr="004A4A9A">
        <w:rPr>
          <w:rFonts w:eastAsiaTheme="minorHAnsi" w:cs="Arial"/>
          <w:kern w:val="2"/>
          <w:sz w:val="22"/>
          <w:szCs w:val="22"/>
        </w:rPr>
        <w:t xml:space="preserve">. Κατά τη διαδικασία της άμεσης αξιολόγησης, διενεργείται αυτοτελής αξιολόγηση κάθε νόμιμης και εμπρόθεσμης αίτησης, </w:t>
      </w:r>
      <w:r w:rsidRPr="004A4A9A">
        <w:rPr>
          <w:rFonts w:eastAsiaTheme="minorHAnsi" w:cs="Arial"/>
          <w:b/>
          <w:bCs/>
          <w:kern w:val="2"/>
          <w:sz w:val="22"/>
          <w:szCs w:val="22"/>
        </w:rPr>
        <w:t>με βάση την αρχή της χρονικής προτεραιότητας και τους διαθέσιμους πόρους</w:t>
      </w:r>
      <w:r w:rsidRPr="004A4A9A">
        <w:rPr>
          <w:rFonts w:eastAsiaTheme="minorHAnsi" w:cs="Arial"/>
          <w:kern w:val="2"/>
          <w:sz w:val="22"/>
          <w:szCs w:val="22"/>
        </w:rPr>
        <w:t>.</w:t>
      </w:r>
    </w:p>
    <w:p w14:paraId="3139DF70" w14:textId="77777777" w:rsidR="004A4A9A" w:rsidRPr="004A4A9A" w:rsidRDefault="004A4A9A" w:rsidP="004A4A9A">
      <w:pPr>
        <w:spacing w:after="0" w:line="240" w:lineRule="auto"/>
        <w:jc w:val="both"/>
        <w:rPr>
          <w:rFonts w:eastAsiaTheme="minorHAnsi" w:cs="Arial"/>
          <w:kern w:val="2"/>
          <w:sz w:val="22"/>
          <w:szCs w:val="22"/>
        </w:rPr>
      </w:pPr>
      <w:r w:rsidRPr="004A4A9A">
        <w:rPr>
          <w:rFonts w:eastAsiaTheme="minorHAnsi" w:cs="Arial"/>
          <w:kern w:val="2"/>
          <w:sz w:val="22"/>
          <w:szCs w:val="22"/>
        </w:rPr>
        <w:t xml:space="preserve">Οι αναλυτικοί όροι και προϋποθέσεις του προγράμματος εξειδικεύονται στον Οδηγό Εφαρμογής που βρίσκεται αναρτημένο στην ιστοσελίδα του προγράμματος </w:t>
      </w:r>
      <w:r w:rsidRPr="004A4A9A">
        <w:rPr>
          <w:rFonts w:eastAsiaTheme="minorHAnsi" w:cs="Arial"/>
          <w:bCs/>
          <w:color w:val="0563C1" w:themeColor="hyperlink"/>
          <w:kern w:val="2"/>
          <w:sz w:val="22"/>
          <w:szCs w:val="22"/>
          <w:u w:val="single"/>
        </w:rPr>
        <w:t>vns-2-0.tee.gov.gr</w:t>
      </w:r>
    </w:p>
    <w:p w14:paraId="143D9C03" w14:textId="77777777" w:rsidR="004A4A9A" w:rsidRPr="004A4A9A" w:rsidRDefault="004A4A9A" w:rsidP="004A4A9A">
      <w:pPr>
        <w:spacing w:after="0" w:line="240" w:lineRule="auto"/>
        <w:jc w:val="both"/>
        <w:rPr>
          <w:rFonts w:eastAsiaTheme="minorHAnsi" w:cs="Arial"/>
          <w:color w:val="0563C1" w:themeColor="hyperlink"/>
          <w:kern w:val="2"/>
          <w:sz w:val="22"/>
          <w:szCs w:val="22"/>
          <w:u w:val="single"/>
        </w:rPr>
      </w:pPr>
      <w:r w:rsidRPr="004A4A9A">
        <w:rPr>
          <w:rFonts w:eastAsiaTheme="minorHAnsi" w:cs="Arial"/>
          <w:kern w:val="2"/>
          <w:sz w:val="22"/>
          <w:szCs w:val="22"/>
        </w:rPr>
        <w:t>Για περαιτέρω πληροφορίες καθώς και για τεχνική υποστήριξη για την υποβολή αιτήσεων χρηματοδότησης, οι ενδιαφερόμενοι μπορούν να απευθύνονται στο e-</w:t>
      </w:r>
      <w:proofErr w:type="spellStart"/>
      <w:r w:rsidRPr="004A4A9A">
        <w:rPr>
          <w:rFonts w:eastAsiaTheme="minorHAnsi" w:cs="Arial"/>
          <w:kern w:val="2"/>
          <w:sz w:val="22"/>
          <w:szCs w:val="22"/>
        </w:rPr>
        <w:t>mail</w:t>
      </w:r>
      <w:proofErr w:type="spellEnd"/>
      <w:r w:rsidRPr="004A4A9A">
        <w:rPr>
          <w:rFonts w:eastAsiaTheme="minorHAnsi" w:cs="Arial"/>
          <w:kern w:val="2"/>
          <w:sz w:val="22"/>
          <w:szCs w:val="22"/>
        </w:rPr>
        <w:t xml:space="preserve"> επικοινωνίας:</w:t>
      </w:r>
      <w:r w:rsidRPr="004A4A9A">
        <w:rPr>
          <w:rFonts w:eastAsiaTheme="minorHAnsi" w:cs="Arial"/>
          <w:color w:val="4472C4" w:themeColor="accent1"/>
          <w:kern w:val="2"/>
          <w:sz w:val="22"/>
          <w:szCs w:val="22"/>
        </w:rPr>
        <w:t xml:space="preserve"> </w:t>
      </w:r>
      <w:hyperlink r:id="rId12" w:history="1">
        <w:r w:rsidRPr="004A4A9A">
          <w:rPr>
            <w:rFonts w:eastAsiaTheme="minorHAnsi" w:cs="Arial"/>
            <w:color w:val="0563C1" w:themeColor="hyperlink"/>
            <w:kern w:val="2"/>
            <w:sz w:val="22"/>
            <w:szCs w:val="22"/>
            <w:u w:val="single"/>
          </w:rPr>
          <w:t>vns.helpdesk@central.tee.gr</w:t>
        </w:r>
      </w:hyperlink>
    </w:p>
    <w:p w14:paraId="633526A8" w14:textId="76867374" w:rsidR="00236E97" w:rsidRPr="004A4A9A" w:rsidRDefault="00236E97" w:rsidP="004A4A9A">
      <w:pPr>
        <w:spacing w:after="0" w:line="240" w:lineRule="auto"/>
        <w:jc w:val="both"/>
        <w:textAlignment w:val="baseline"/>
        <w:rPr>
          <w:rFonts w:cs="Arial"/>
          <w:color w:val="000000"/>
          <w:sz w:val="24"/>
          <w:szCs w:val="24"/>
          <w:bdr w:val="none" w:sz="0" w:space="0" w:color="auto" w:frame="1"/>
          <w:lang w:eastAsia="el-GR"/>
        </w:rPr>
      </w:pPr>
    </w:p>
    <w:sectPr w:rsidR="00236E97" w:rsidRPr="004A4A9A" w:rsidSect="00812C7D">
      <w:headerReference w:type="default" r:id="rId13"/>
      <w:footerReference w:type="even" r:id="rId14"/>
      <w:footerReference w:type="default" r:id="rId15"/>
      <w:pgSz w:w="11906" w:h="16838" w:code="9"/>
      <w:pgMar w:top="851" w:right="1797" w:bottom="1440" w:left="1797"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547C" w14:textId="77777777" w:rsidR="00144907" w:rsidRDefault="00144907" w:rsidP="00515574">
      <w:r>
        <w:separator/>
      </w:r>
    </w:p>
  </w:endnote>
  <w:endnote w:type="continuationSeparator" w:id="0">
    <w:p w14:paraId="0C99908C" w14:textId="77777777" w:rsidR="00144907" w:rsidRDefault="00144907" w:rsidP="005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F03A" w14:textId="77777777" w:rsidR="00515574" w:rsidRDefault="00FB4984">
    <w:pPr>
      <w:pStyle w:val="Footer"/>
      <w:framePr w:wrap="around" w:vAnchor="text" w:hAnchor="margin" w:xAlign="center" w:y="1"/>
      <w:rPr>
        <w:rStyle w:val="PageNumber"/>
      </w:rPr>
    </w:pPr>
    <w:r>
      <w:rPr>
        <w:rStyle w:val="PageNumber"/>
      </w:rPr>
      <w:fldChar w:fldCharType="begin"/>
    </w:r>
    <w:r w:rsidR="00515574">
      <w:rPr>
        <w:rStyle w:val="PageNumber"/>
      </w:rPr>
      <w:instrText xml:space="preserve">PAGE  </w:instrText>
    </w:r>
    <w:r>
      <w:rPr>
        <w:rStyle w:val="PageNumber"/>
      </w:rPr>
      <w:fldChar w:fldCharType="separate"/>
    </w:r>
    <w:r w:rsidR="0009209A">
      <w:rPr>
        <w:rStyle w:val="PageNumber"/>
        <w:noProof/>
      </w:rPr>
      <w:t>1</w:t>
    </w:r>
    <w:r>
      <w:rPr>
        <w:rStyle w:val="PageNumber"/>
      </w:rPr>
      <w:fldChar w:fldCharType="end"/>
    </w:r>
  </w:p>
  <w:p w14:paraId="48FBC733" w14:textId="77777777" w:rsidR="00515574" w:rsidRDefault="00515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4B7C" w14:textId="2EDFF76F" w:rsidR="00515574" w:rsidRPr="00C47209" w:rsidRDefault="001073F3">
    <w:pPr>
      <w:pStyle w:val="Footer"/>
      <w:jc w:val="center"/>
      <w:rPr>
        <w:rFonts w:ascii="Bookman Old Style" w:hAnsi="Bookman Old Style"/>
        <w:b/>
        <w:i/>
        <w:lang w:val="pt-PT"/>
      </w:rPr>
    </w:pPr>
    <w:r>
      <w:rPr>
        <w:noProof/>
      </w:rPr>
      <mc:AlternateContent>
        <mc:Choice Requires="wps">
          <w:drawing>
            <wp:anchor distT="0" distB="0" distL="114300" distR="114300" simplePos="0" relativeHeight="251660288" behindDoc="0" locked="0" layoutInCell="1" allowOverlap="1" wp14:anchorId="6124385C" wp14:editId="5D5798C7">
              <wp:simplePos x="0" y="0"/>
              <wp:positionH relativeFrom="column">
                <wp:posOffset>-4885</wp:posOffset>
              </wp:positionH>
              <wp:positionV relativeFrom="page">
                <wp:posOffset>9791323</wp:posOffset>
              </wp:positionV>
              <wp:extent cx="531089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31089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FCCA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pt,770.95pt" to="417.8pt,7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" strokecolor="#4472c4 [3204]" strokeweight="1.5pt">
              <v:stroke joinstyle="miter"/>
              <w10:wrap anchory="page"/>
            </v:line>
          </w:pict>
        </mc:Fallback>
      </mc:AlternateContent>
    </w:r>
    <w:r w:rsidR="00CB4536">
      <w:rPr>
        <w:noProof/>
      </w:rPr>
      <w:drawing>
        <wp:anchor distT="0" distB="0" distL="114300" distR="114300" simplePos="0" relativeHeight="251659264" behindDoc="1" locked="0" layoutInCell="1" allowOverlap="1" wp14:anchorId="0B3B541D" wp14:editId="179C6991">
          <wp:simplePos x="0" y="0"/>
          <wp:positionH relativeFrom="page">
            <wp:align>center</wp:align>
          </wp:positionH>
          <wp:positionV relativeFrom="bottomMargin">
            <wp:align>center</wp:align>
          </wp:positionV>
          <wp:extent cx="3891600" cy="69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91600" cy="69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3C34" w14:textId="77777777" w:rsidR="00144907" w:rsidRDefault="00144907" w:rsidP="00515574">
      <w:r>
        <w:separator/>
      </w:r>
    </w:p>
  </w:footnote>
  <w:footnote w:type="continuationSeparator" w:id="0">
    <w:p w14:paraId="56F32949" w14:textId="77777777" w:rsidR="00144907" w:rsidRDefault="00144907" w:rsidP="0051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247F" w14:textId="40F08DBD" w:rsidR="00CB4536" w:rsidRDefault="00CB4536" w:rsidP="001073F3">
    <w:pPr>
      <w:pStyle w:val="Footer"/>
      <w:pBdr>
        <w:top w:val="thinThickSmallGap" w:sz="24" w:space="1" w:color="2F5496" w:themeColor="accent1" w:themeShade="BF"/>
      </w:pBdr>
      <w:spacing w:after="0" w:line="240" w:lineRule="auto"/>
    </w:pPr>
    <w:r w:rsidRPr="00C24DED">
      <w:rPr>
        <w:b/>
        <w:i/>
      </w:rPr>
      <w:t>ΓΡΑΦΕΙΟ ΤΥΠΟΥ</w:t>
    </w:r>
    <w:r w:rsidR="004A4A9A">
      <w:rPr>
        <w:b/>
        <w:i/>
        <w:lang w:val="el-GR"/>
      </w:rPr>
      <w:t xml:space="preserve"> ΤΕΕ</w:t>
    </w:r>
    <w:r w:rsidR="00AD5EEB" w:rsidRPr="00AD5EEB">
      <w:rPr>
        <w:b/>
        <w:i/>
        <w:lang w:val="el-GR"/>
      </w:rPr>
      <w:t xml:space="preserve"> </w:t>
    </w:r>
    <w:r w:rsidRPr="00C24DED">
      <w:rPr>
        <w:b/>
        <w:i/>
      </w:rPr>
      <w:t xml:space="preserve"> – </w:t>
    </w:r>
    <w:proofErr w:type="spellStart"/>
    <w:r>
      <w:rPr>
        <w:b/>
        <w:i/>
      </w:rPr>
      <w:t>Νίκης</w:t>
    </w:r>
    <w:proofErr w:type="spellEnd"/>
    <w:r w:rsidRPr="00C24DED">
      <w:rPr>
        <w:b/>
        <w:i/>
      </w:rPr>
      <w:t xml:space="preserve"> 4 – </w:t>
    </w:r>
    <w:proofErr w:type="spellStart"/>
    <w:r w:rsidRPr="00C24DED">
      <w:rPr>
        <w:b/>
        <w:i/>
      </w:rPr>
      <w:t>Αθήν</w:t>
    </w:r>
    <w:proofErr w:type="spellEnd"/>
    <w:r w:rsidRPr="00C24DED">
      <w:rPr>
        <w:b/>
        <w:i/>
      </w:rPr>
      <w:t xml:space="preserve">α – </w:t>
    </w:r>
    <w:proofErr w:type="spellStart"/>
    <w:r w:rsidRPr="00C24DED">
      <w:rPr>
        <w:b/>
        <w:i/>
      </w:rPr>
      <w:t>Τηλ</w:t>
    </w:r>
    <w:proofErr w:type="spellEnd"/>
    <w:r w:rsidRPr="00C24DED">
      <w:rPr>
        <w:b/>
        <w:i/>
      </w:rPr>
      <w:t>. 210 32.91.</w:t>
    </w:r>
    <w:r w:rsidRPr="00232FA1">
      <w:rPr>
        <w:b/>
        <w:i/>
        <w:lang w:val="el-GR"/>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Hyperlink"/>
          <w:b/>
          <w:i/>
          <w:lang w:val="pt-PT"/>
        </w:rPr>
        <w:t>press@central.tee.gr</w:t>
      </w:r>
    </w:hyperlink>
    <w:r>
      <w:rPr>
        <w:b/>
        <w:i/>
      </w:rPr>
      <w:tab/>
    </w:r>
    <w:r>
      <w:fldChar w:fldCharType="begin"/>
    </w:r>
    <w:r w:rsidRPr="00C47209">
      <w:rPr>
        <w:lang w:val="pt-PT"/>
      </w:rP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66A27A2"/>
    <w:styleLink w:val="2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59F63FA"/>
    <w:multiLevelType w:val="hybridMultilevel"/>
    <w:tmpl w:val="8D3EE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CB6515"/>
    <w:multiLevelType w:val="multilevel"/>
    <w:tmpl w:val="38823FF8"/>
    <w:styleLink w:val="List0"/>
    <w:lvl w:ilvl="0">
      <w:numFmt w:val="bullet"/>
      <w:lvlText w:val="-"/>
      <w:lvlJc w:val="left"/>
      <w:pPr>
        <w:tabs>
          <w:tab w:val="num" w:pos="720"/>
        </w:tabs>
        <w:ind w:left="720" w:hanging="360"/>
      </w:pPr>
      <w:rPr>
        <w:rFonts w:ascii="Tahoma" w:eastAsia="Tahoma" w:hAnsi="Tahoma" w:cs="Tahoma"/>
        <w:position w:val="0"/>
        <w:sz w:val="22"/>
        <w:szCs w:val="22"/>
      </w:rPr>
    </w:lvl>
    <w:lvl w:ilvl="1">
      <w:start w:val="1"/>
      <w:numFmt w:val="bullet"/>
      <w:lvlText w:val="o"/>
      <w:lvlJc w:val="left"/>
      <w:pPr>
        <w:tabs>
          <w:tab w:val="num" w:pos="1440"/>
        </w:tabs>
        <w:ind w:left="1440" w:hanging="360"/>
      </w:pPr>
      <w:rPr>
        <w:rFonts w:ascii="Tahoma" w:eastAsia="Tahoma" w:hAnsi="Tahoma" w:cs="Tahoma"/>
        <w:position w:val="0"/>
        <w:sz w:val="24"/>
        <w:szCs w:val="24"/>
      </w:rPr>
    </w:lvl>
    <w:lvl w:ilvl="2">
      <w:start w:val="1"/>
      <w:numFmt w:val="bullet"/>
      <w:lvlText w:val="▪"/>
      <w:lvlJc w:val="left"/>
      <w:pPr>
        <w:tabs>
          <w:tab w:val="num" w:pos="2160"/>
        </w:tabs>
        <w:ind w:left="2160" w:hanging="360"/>
      </w:pPr>
      <w:rPr>
        <w:rFonts w:ascii="Tahoma" w:eastAsia="Tahoma" w:hAnsi="Tahoma" w:cs="Tahoma"/>
        <w:position w:val="0"/>
        <w:sz w:val="24"/>
        <w:szCs w:val="24"/>
      </w:rPr>
    </w:lvl>
    <w:lvl w:ilvl="3">
      <w:start w:val="1"/>
      <w:numFmt w:val="bullet"/>
      <w:lvlText w:val="•"/>
      <w:lvlJc w:val="left"/>
      <w:pPr>
        <w:tabs>
          <w:tab w:val="num" w:pos="2880"/>
        </w:tabs>
        <w:ind w:left="2880" w:hanging="360"/>
      </w:pPr>
      <w:rPr>
        <w:rFonts w:ascii="Tahoma" w:eastAsia="Tahoma" w:hAnsi="Tahoma" w:cs="Tahoma"/>
        <w:position w:val="0"/>
        <w:sz w:val="24"/>
        <w:szCs w:val="24"/>
      </w:rPr>
    </w:lvl>
    <w:lvl w:ilvl="4">
      <w:start w:val="1"/>
      <w:numFmt w:val="bullet"/>
      <w:lvlText w:val="o"/>
      <w:lvlJc w:val="left"/>
      <w:pPr>
        <w:tabs>
          <w:tab w:val="num" w:pos="3600"/>
        </w:tabs>
        <w:ind w:left="3600" w:hanging="360"/>
      </w:pPr>
      <w:rPr>
        <w:rFonts w:ascii="Tahoma" w:eastAsia="Tahoma" w:hAnsi="Tahoma" w:cs="Tahoma"/>
        <w:position w:val="0"/>
        <w:sz w:val="24"/>
        <w:szCs w:val="24"/>
      </w:rPr>
    </w:lvl>
    <w:lvl w:ilvl="5">
      <w:start w:val="1"/>
      <w:numFmt w:val="bullet"/>
      <w:lvlText w:val="▪"/>
      <w:lvlJc w:val="left"/>
      <w:pPr>
        <w:tabs>
          <w:tab w:val="num" w:pos="4320"/>
        </w:tabs>
        <w:ind w:left="4320" w:hanging="360"/>
      </w:pPr>
      <w:rPr>
        <w:rFonts w:ascii="Tahoma" w:eastAsia="Tahoma" w:hAnsi="Tahoma" w:cs="Tahoma"/>
        <w:position w:val="0"/>
        <w:sz w:val="24"/>
        <w:szCs w:val="24"/>
      </w:rPr>
    </w:lvl>
    <w:lvl w:ilvl="6">
      <w:start w:val="1"/>
      <w:numFmt w:val="bullet"/>
      <w:lvlText w:val="•"/>
      <w:lvlJc w:val="left"/>
      <w:pPr>
        <w:tabs>
          <w:tab w:val="num" w:pos="5040"/>
        </w:tabs>
        <w:ind w:left="5040" w:hanging="360"/>
      </w:pPr>
      <w:rPr>
        <w:rFonts w:ascii="Tahoma" w:eastAsia="Tahoma" w:hAnsi="Tahoma" w:cs="Tahoma"/>
        <w:position w:val="0"/>
        <w:sz w:val="24"/>
        <w:szCs w:val="24"/>
      </w:rPr>
    </w:lvl>
    <w:lvl w:ilvl="7">
      <w:start w:val="1"/>
      <w:numFmt w:val="bullet"/>
      <w:lvlText w:val="o"/>
      <w:lvlJc w:val="left"/>
      <w:pPr>
        <w:tabs>
          <w:tab w:val="num" w:pos="5760"/>
        </w:tabs>
        <w:ind w:left="5760" w:hanging="360"/>
      </w:pPr>
      <w:rPr>
        <w:rFonts w:ascii="Tahoma" w:eastAsia="Tahoma" w:hAnsi="Tahoma" w:cs="Tahoma"/>
        <w:position w:val="0"/>
        <w:sz w:val="24"/>
        <w:szCs w:val="24"/>
      </w:rPr>
    </w:lvl>
    <w:lvl w:ilvl="8">
      <w:start w:val="1"/>
      <w:numFmt w:val="bullet"/>
      <w:lvlText w:val="▪"/>
      <w:lvlJc w:val="left"/>
      <w:pPr>
        <w:tabs>
          <w:tab w:val="num" w:pos="6480"/>
        </w:tabs>
        <w:ind w:left="6480" w:hanging="360"/>
      </w:pPr>
      <w:rPr>
        <w:rFonts w:ascii="Tahoma" w:eastAsia="Tahoma" w:hAnsi="Tahoma" w:cs="Tahoma"/>
        <w:position w:val="0"/>
        <w:sz w:val="24"/>
        <w:szCs w:val="24"/>
      </w:rPr>
    </w:lvl>
  </w:abstractNum>
  <w:abstractNum w:abstractNumId="3" w15:restartNumberingAfterBreak="0">
    <w:nsid w:val="09401832"/>
    <w:multiLevelType w:val="multilevel"/>
    <w:tmpl w:val="FD205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70F15"/>
    <w:multiLevelType w:val="hybridMultilevel"/>
    <w:tmpl w:val="B1E08AA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 w15:restartNumberingAfterBreak="0">
    <w:nsid w:val="350F2EB8"/>
    <w:multiLevelType w:val="hybridMultilevel"/>
    <w:tmpl w:val="ECE6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DD61F7"/>
    <w:multiLevelType w:val="hybridMultilevel"/>
    <w:tmpl w:val="E2A8FD3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B057D74"/>
    <w:multiLevelType w:val="hybridMultilevel"/>
    <w:tmpl w:val="18E6A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5A4F56"/>
    <w:multiLevelType w:val="hybridMultilevel"/>
    <w:tmpl w:val="12803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E2BAE"/>
    <w:multiLevelType w:val="hybridMultilevel"/>
    <w:tmpl w:val="4E849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DE6E1D"/>
    <w:multiLevelType w:val="hybridMultilevel"/>
    <w:tmpl w:val="3CB8BC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9422D0"/>
    <w:multiLevelType w:val="hybridMultilevel"/>
    <w:tmpl w:val="8376B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4A3EF0"/>
    <w:multiLevelType w:val="hybridMultilevel"/>
    <w:tmpl w:val="9418C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0C2637B"/>
    <w:multiLevelType w:val="hybridMultilevel"/>
    <w:tmpl w:val="3CA2A1F4"/>
    <w:lvl w:ilvl="0" w:tplc="DAE88D38">
      <w:start w:val="1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DF319C"/>
    <w:multiLevelType w:val="hybridMultilevel"/>
    <w:tmpl w:val="D28495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90F4EC3"/>
    <w:multiLevelType w:val="hybridMultilevel"/>
    <w:tmpl w:val="BA0A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813D1C"/>
    <w:multiLevelType w:val="multilevel"/>
    <w:tmpl w:val="1E62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C5FD6"/>
    <w:multiLevelType w:val="hybridMultilevel"/>
    <w:tmpl w:val="B4A0E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36435EB"/>
    <w:multiLevelType w:val="multilevel"/>
    <w:tmpl w:val="52448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8C5274"/>
    <w:multiLevelType w:val="multilevel"/>
    <w:tmpl w:val="D88A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136A8"/>
    <w:multiLevelType w:val="hybridMultilevel"/>
    <w:tmpl w:val="304E66C4"/>
    <w:lvl w:ilvl="0" w:tplc="04080001">
      <w:start w:val="1"/>
      <w:numFmt w:val="bullet"/>
      <w:lvlText w:val=""/>
      <w:lvlJc w:val="left"/>
      <w:pPr>
        <w:ind w:left="1198" w:hanging="360"/>
      </w:pPr>
      <w:rPr>
        <w:rFonts w:ascii="Symbol" w:hAnsi="Symbol" w:cs="Symbol" w:hint="default"/>
      </w:rPr>
    </w:lvl>
    <w:lvl w:ilvl="1" w:tplc="04080003" w:tentative="1">
      <w:start w:val="1"/>
      <w:numFmt w:val="bullet"/>
      <w:lvlText w:val="o"/>
      <w:lvlJc w:val="left"/>
      <w:pPr>
        <w:ind w:left="1918" w:hanging="360"/>
      </w:pPr>
      <w:rPr>
        <w:rFonts w:ascii="Courier New" w:hAnsi="Courier New" w:cs="Courier New" w:hint="default"/>
      </w:rPr>
    </w:lvl>
    <w:lvl w:ilvl="2" w:tplc="04080005" w:tentative="1">
      <w:start w:val="1"/>
      <w:numFmt w:val="bullet"/>
      <w:lvlText w:val=""/>
      <w:lvlJc w:val="left"/>
      <w:pPr>
        <w:ind w:left="2638" w:hanging="360"/>
      </w:pPr>
      <w:rPr>
        <w:rFonts w:ascii="Wingdings" w:hAnsi="Wingdings" w:cs="Wingdings" w:hint="default"/>
      </w:rPr>
    </w:lvl>
    <w:lvl w:ilvl="3" w:tplc="04080001" w:tentative="1">
      <w:start w:val="1"/>
      <w:numFmt w:val="bullet"/>
      <w:lvlText w:val=""/>
      <w:lvlJc w:val="left"/>
      <w:pPr>
        <w:ind w:left="3358" w:hanging="360"/>
      </w:pPr>
      <w:rPr>
        <w:rFonts w:ascii="Symbol" w:hAnsi="Symbol" w:cs="Symbol" w:hint="default"/>
      </w:rPr>
    </w:lvl>
    <w:lvl w:ilvl="4" w:tplc="04080003" w:tentative="1">
      <w:start w:val="1"/>
      <w:numFmt w:val="bullet"/>
      <w:lvlText w:val="o"/>
      <w:lvlJc w:val="left"/>
      <w:pPr>
        <w:ind w:left="4078" w:hanging="360"/>
      </w:pPr>
      <w:rPr>
        <w:rFonts w:ascii="Courier New" w:hAnsi="Courier New" w:cs="Courier New" w:hint="default"/>
      </w:rPr>
    </w:lvl>
    <w:lvl w:ilvl="5" w:tplc="04080005" w:tentative="1">
      <w:start w:val="1"/>
      <w:numFmt w:val="bullet"/>
      <w:lvlText w:val=""/>
      <w:lvlJc w:val="left"/>
      <w:pPr>
        <w:ind w:left="4798" w:hanging="360"/>
      </w:pPr>
      <w:rPr>
        <w:rFonts w:ascii="Wingdings" w:hAnsi="Wingdings" w:cs="Wingdings" w:hint="default"/>
      </w:rPr>
    </w:lvl>
    <w:lvl w:ilvl="6" w:tplc="04080001" w:tentative="1">
      <w:start w:val="1"/>
      <w:numFmt w:val="bullet"/>
      <w:lvlText w:val=""/>
      <w:lvlJc w:val="left"/>
      <w:pPr>
        <w:ind w:left="5518" w:hanging="360"/>
      </w:pPr>
      <w:rPr>
        <w:rFonts w:ascii="Symbol" w:hAnsi="Symbol" w:cs="Symbol" w:hint="default"/>
      </w:rPr>
    </w:lvl>
    <w:lvl w:ilvl="7" w:tplc="04080003" w:tentative="1">
      <w:start w:val="1"/>
      <w:numFmt w:val="bullet"/>
      <w:lvlText w:val="o"/>
      <w:lvlJc w:val="left"/>
      <w:pPr>
        <w:ind w:left="6238" w:hanging="360"/>
      </w:pPr>
      <w:rPr>
        <w:rFonts w:ascii="Courier New" w:hAnsi="Courier New" w:cs="Courier New" w:hint="default"/>
      </w:rPr>
    </w:lvl>
    <w:lvl w:ilvl="8" w:tplc="04080005" w:tentative="1">
      <w:start w:val="1"/>
      <w:numFmt w:val="bullet"/>
      <w:lvlText w:val=""/>
      <w:lvlJc w:val="left"/>
      <w:pPr>
        <w:ind w:left="6958" w:hanging="360"/>
      </w:pPr>
      <w:rPr>
        <w:rFonts w:ascii="Wingdings" w:hAnsi="Wingdings" w:cs="Wingdings" w:hint="default"/>
      </w:rPr>
    </w:lvl>
  </w:abstractNum>
  <w:abstractNum w:abstractNumId="21" w15:restartNumberingAfterBreak="0">
    <w:nsid w:val="767660BF"/>
    <w:multiLevelType w:val="hybridMultilevel"/>
    <w:tmpl w:val="506EF800"/>
    <w:lvl w:ilvl="0" w:tplc="C332F83A">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ADF1507"/>
    <w:multiLevelType w:val="hybridMultilevel"/>
    <w:tmpl w:val="84260BA6"/>
    <w:lvl w:ilvl="0" w:tplc="301C0142">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037743">
    <w:abstractNumId w:val="0"/>
  </w:num>
  <w:num w:numId="2" w16cid:durableId="1165172665">
    <w:abstractNumId w:val="2"/>
  </w:num>
  <w:num w:numId="3" w16cid:durableId="1785726893">
    <w:abstractNumId w:val="11"/>
  </w:num>
  <w:num w:numId="4" w16cid:durableId="1309938657">
    <w:abstractNumId w:val="12"/>
  </w:num>
  <w:num w:numId="5" w16cid:durableId="127629023">
    <w:abstractNumId w:val="6"/>
  </w:num>
  <w:num w:numId="6" w16cid:durableId="329255408">
    <w:abstractNumId w:val="16"/>
  </w:num>
  <w:num w:numId="7" w16cid:durableId="417405795">
    <w:abstractNumId w:val="18"/>
  </w:num>
  <w:num w:numId="8" w16cid:durableId="1319656385">
    <w:abstractNumId w:val="3"/>
  </w:num>
  <w:num w:numId="9" w16cid:durableId="1315452695">
    <w:abstractNumId w:val="19"/>
  </w:num>
  <w:num w:numId="10" w16cid:durableId="648754054">
    <w:abstractNumId w:val="21"/>
  </w:num>
  <w:num w:numId="11" w16cid:durableId="1710764889">
    <w:abstractNumId w:val="14"/>
  </w:num>
  <w:num w:numId="12" w16cid:durableId="229467917">
    <w:abstractNumId w:val="22"/>
  </w:num>
  <w:num w:numId="13" w16cid:durableId="1735546816">
    <w:abstractNumId w:val="5"/>
  </w:num>
  <w:num w:numId="14" w16cid:durableId="1270743431">
    <w:abstractNumId w:val="7"/>
  </w:num>
  <w:num w:numId="15" w16cid:durableId="581334939">
    <w:abstractNumId w:val="15"/>
  </w:num>
  <w:num w:numId="16" w16cid:durableId="26218184">
    <w:abstractNumId w:val="8"/>
  </w:num>
  <w:num w:numId="17" w16cid:durableId="316735545">
    <w:abstractNumId w:val="9"/>
  </w:num>
  <w:num w:numId="18" w16cid:durableId="1687711410">
    <w:abstractNumId w:val="1"/>
  </w:num>
  <w:num w:numId="19" w16cid:durableId="2120686361">
    <w:abstractNumId w:val="17"/>
  </w:num>
  <w:num w:numId="20" w16cid:durableId="1082458409">
    <w:abstractNumId w:val="4"/>
  </w:num>
  <w:num w:numId="21" w16cid:durableId="2123374800">
    <w:abstractNumId w:val="10"/>
  </w:num>
  <w:num w:numId="22" w16cid:durableId="136189071">
    <w:abstractNumId w:val="20"/>
  </w:num>
  <w:num w:numId="23" w16cid:durableId="21131628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75"/>
    <w:rsid w:val="00005745"/>
    <w:rsid w:val="00006080"/>
    <w:rsid w:val="0000790A"/>
    <w:rsid w:val="00014F50"/>
    <w:rsid w:val="000213CA"/>
    <w:rsid w:val="00024F26"/>
    <w:rsid w:val="00032059"/>
    <w:rsid w:val="0003414E"/>
    <w:rsid w:val="00037134"/>
    <w:rsid w:val="0004011F"/>
    <w:rsid w:val="00044C5F"/>
    <w:rsid w:val="00045476"/>
    <w:rsid w:val="000603B1"/>
    <w:rsid w:val="000665EB"/>
    <w:rsid w:val="00074D32"/>
    <w:rsid w:val="00080A4C"/>
    <w:rsid w:val="00085D55"/>
    <w:rsid w:val="0009209A"/>
    <w:rsid w:val="000A23EC"/>
    <w:rsid w:val="000A604D"/>
    <w:rsid w:val="000B42EA"/>
    <w:rsid w:val="000C3863"/>
    <w:rsid w:val="000C62AE"/>
    <w:rsid w:val="000F6CA4"/>
    <w:rsid w:val="00106EE1"/>
    <w:rsid w:val="00106FAA"/>
    <w:rsid w:val="001073F3"/>
    <w:rsid w:val="001120FD"/>
    <w:rsid w:val="00117AF3"/>
    <w:rsid w:val="001248A3"/>
    <w:rsid w:val="00124D61"/>
    <w:rsid w:val="00126E0B"/>
    <w:rsid w:val="00144907"/>
    <w:rsid w:val="00166C3C"/>
    <w:rsid w:val="0017354E"/>
    <w:rsid w:val="0017634D"/>
    <w:rsid w:val="001767E7"/>
    <w:rsid w:val="00177AFF"/>
    <w:rsid w:val="00191FA0"/>
    <w:rsid w:val="001A4646"/>
    <w:rsid w:val="001C7FBF"/>
    <w:rsid w:val="001E19A3"/>
    <w:rsid w:val="001E3E35"/>
    <w:rsid w:val="00200AAB"/>
    <w:rsid w:val="002073EA"/>
    <w:rsid w:val="00215CDE"/>
    <w:rsid w:val="00226694"/>
    <w:rsid w:val="00232FA1"/>
    <w:rsid w:val="002338A6"/>
    <w:rsid w:val="00236E97"/>
    <w:rsid w:val="00242062"/>
    <w:rsid w:val="002432D1"/>
    <w:rsid w:val="00246A2D"/>
    <w:rsid w:val="002470FB"/>
    <w:rsid w:val="002630BA"/>
    <w:rsid w:val="00273C43"/>
    <w:rsid w:val="00276310"/>
    <w:rsid w:val="00281C4B"/>
    <w:rsid w:val="00282800"/>
    <w:rsid w:val="00292252"/>
    <w:rsid w:val="0029765A"/>
    <w:rsid w:val="002A36E1"/>
    <w:rsid w:val="002B2CCE"/>
    <w:rsid w:val="002C19AB"/>
    <w:rsid w:val="002E1706"/>
    <w:rsid w:val="002E287C"/>
    <w:rsid w:val="002E49C3"/>
    <w:rsid w:val="002F54BB"/>
    <w:rsid w:val="003013C1"/>
    <w:rsid w:val="0030187E"/>
    <w:rsid w:val="00305B7F"/>
    <w:rsid w:val="00312E87"/>
    <w:rsid w:val="00314E94"/>
    <w:rsid w:val="00316AF0"/>
    <w:rsid w:val="003347A0"/>
    <w:rsid w:val="0034211D"/>
    <w:rsid w:val="00344E93"/>
    <w:rsid w:val="00347EBD"/>
    <w:rsid w:val="0035670D"/>
    <w:rsid w:val="00364AD2"/>
    <w:rsid w:val="003654B0"/>
    <w:rsid w:val="00377D1D"/>
    <w:rsid w:val="00384BF1"/>
    <w:rsid w:val="00384F29"/>
    <w:rsid w:val="00385627"/>
    <w:rsid w:val="00385D28"/>
    <w:rsid w:val="00387D5E"/>
    <w:rsid w:val="003910A5"/>
    <w:rsid w:val="00391F8C"/>
    <w:rsid w:val="00393205"/>
    <w:rsid w:val="00395209"/>
    <w:rsid w:val="003A182A"/>
    <w:rsid w:val="003A4F40"/>
    <w:rsid w:val="003A568F"/>
    <w:rsid w:val="003B1960"/>
    <w:rsid w:val="003B56ED"/>
    <w:rsid w:val="003C1D02"/>
    <w:rsid w:val="003C3E80"/>
    <w:rsid w:val="003D51AA"/>
    <w:rsid w:val="003E77B2"/>
    <w:rsid w:val="0040023A"/>
    <w:rsid w:val="004002E9"/>
    <w:rsid w:val="00401669"/>
    <w:rsid w:val="00426CCA"/>
    <w:rsid w:val="00434128"/>
    <w:rsid w:val="00435037"/>
    <w:rsid w:val="004464F1"/>
    <w:rsid w:val="00461731"/>
    <w:rsid w:val="00486A7D"/>
    <w:rsid w:val="00494FB8"/>
    <w:rsid w:val="00495E47"/>
    <w:rsid w:val="004A4A9A"/>
    <w:rsid w:val="004B29B4"/>
    <w:rsid w:val="004B5A1C"/>
    <w:rsid w:val="004C31CB"/>
    <w:rsid w:val="004C362C"/>
    <w:rsid w:val="004E190E"/>
    <w:rsid w:val="004E2763"/>
    <w:rsid w:val="004E5BFC"/>
    <w:rsid w:val="004F4A55"/>
    <w:rsid w:val="004F4D1E"/>
    <w:rsid w:val="00500C4E"/>
    <w:rsid w:val="00515574"/>
    <w:rsid w:val="00521C62"/>
    <w:rsid w:val="00523612"/>
    <w:rsid w:val="00526CF8"/>
    <w:rsid w:val="0052791B"/>
    <w:rsid w:val="005355D4"/>
    <w:rsid w:val="005357D5"/>
    <w:rsid w:val="00552D76"/>
    <w:rsid w:val="00562B7D"/>
    <w:rsid w:val="00570AB6"/>
    <w:rsid w:val="00577053"/>
    <w:rsid w:val="005771FE"/>
    <w:rsid w:val="00585700"/>
    <w:rsid w:val="0059052C"/>
    <w:rsid w:val="0059053F"/>
    <w:rsid w:val="005A72BF"/>
    <w:rsid w:val="005B16EB"/>
    <w:rsid w:val="005B17E1"/>
    <w:rsid w:val="005B2D1C"/>
    <w:rsid w:val="005C22FB"/>
    <w:rsid w:val="005C22FC"/>
    <w:rsid w:val="005C650A"/>
    <w:rsid w:val="005D2701"/>
    <w:rsid w:val="005D5D99"/>
    <w:rsid w:val="005D6C7D"/>
    <w:rsid w:val="005D79F5"/>
    <w:rsid w:val="005E12A8"/>
    <w:rsid w:val="005E4D7C"/>
    <w:rsid w:val="00602E18"/>
    <w:rsid w:val="00604AA4"/>
    <w:rsid w:val="00615015"/>
    <w:rsid w:val="00630863"/>
    <w:rsid w:val="0064034E"/>
    <w:rsid w:val="00642CE5"/>
    <w:rsid w:val="00646099"/>
    <w:rsid w:val="00646D55"/>
    <w:rsid w:val="00652CB4"/>
    <w:rsid w:val="00663717"/>
    <w:rsid w:val="00664588"/>
    <w:rsid w:val="006669A1"/>
    <w:rsid w:val="00671778"/>
    <w:rsid w:val="0067368F"/>
    <w:rsid w:val="0068075D"/>
    <w:rsid w:val="006928D5"/>
    <w:rsid w:val="006965AE"/>
    <w:rsid w:val="006A0A1D"/>
    <w:rsid w:val="006A0C90"/>
    <w:rsid w:val="006A6AF3"/>
    <w:rsid w:val="006A75E4"/>
    <w:rsid w:val="006C2EB2"/>
    <w:rsid w:val="006C3989"/>
    <w:rsid w:val="006C3AD3"/>
    <w:rsid w:val="006D767C"/>
    <w:rsid w:val="006E684C"/>
    <w:rsid w:val="006E7D50"/>
    <w:rsid w:val="006F339D"/>
    <w:rsid w:val="006F5346"/>
    <w:rsid w:val="006F56CD"/>
    <w:rsid w:val="007060A4"/>
    <w:rsid w:val="00710F07"/>
    <w:rsid w:val="007155B2"/>
    <w:rsid w:val="007165FB"/>
    <w:rsid w:val="00727A7B"/>
    <w:rsid w:val="0074791A"/>
    <w:rsid w:val="00762FC2"/>
    <w:rsid w:val="007640E2"/>
    <w:rsid w:val="00767758"/>
    <w:rsid w:val="0077425B"/>
    <w:rsid w:val="007A12C4"/>
    <w:rsid w:val="007A79CD"/>
    <w:rsid w:val="007B1E00"/>
    <w:rsid w:val="007D25A2"/>
    <w:rsid w:val="007D7F43"/>
    <w:rsid w:val="007E5BE5"/>
    <w:rsid w:val="007F2937"/>
    <w:rsid w:val="008023F3"/>
    <w:rsid w:val="00810B8A"/>
    <w:rsid w:val="00812C7D"/>
    <w:rsid w:val="0082191B"/>
    <w:rsid w:val="00834773"/>
    <w:rsid w:val="00835E91"/>
    <w:rsid w:val="00841C9A"/>
    <w:rsid w:val="008432F4"/>
    <w:rsid w:val="008433F9"/>
    <w:rsid w:val="00852C73"/>
    <w:rsid w:val="00853134"/>
    <w:rsid w:val="00855611"/>
    <w:rsid w:val="00857841"/>
    <w:rsid w:val="0086014C"/>
    <w:rsid w:val="00860EF4"/>
    <w:rsid w:val="0086235D"/>
    <w:rsid w:val="0086563A"/>
    <w:rsid w:val="008712FB"/>
    <w:rsid w:val="0088583C"/>
    <w:rsid w:val="0089235F"/>
    <w:rsid w:val="00894EEC"/>
    <w:rsid w:val="0089518E"/>
    <w:rsid w:val="00895924"/>
    <w:rsid w:val="00895E02"/>
    <w:rsid w:val="00897EBD"/>
    <w:rsid w:val="008A2FE4"/>
    <w:rsid w:val="008A5C8D"/>
    <w:rsid w:val="008D2669"/>
    <w:rsid w:val="008D2672"/>
    <w:rsid w:val="008D6E74"/>
    <w:rsid w:val="008E324C"/>
    <w:rsid w:val="008E3DE4"/>
    <w:rsid w:val="008E4151"/>
    <w:rsid w:val="00901924"/>
    <w:rsid w:val="00907984"/>
    <w:rsid w:val="00914E4A"/>
    <w:rsid w:val="00915252"/>
    <w:rsid w:val="00926E62"/>
    <w:rsid w:val="00954BA8"/>
    <w:rsid w:val="009613CD"/>
    <w:rsid w:val="00967D7F"/>
    <w:rsid w:val="009802AA"/>
    <w:rsid w:val="00982A33"/>
    <w:rsid w:val="00986D01"/>
    <w:rsid w:val="009914F3"/>
    <w:rsid w:val="00991C2F"/>
    <w:rsid w:val="00993894"/>
    <w:rsid w:val="00995A79"/>
    <w:rsid w:val="00996DB0"/>
    <w:rsid w:val="009A6422"/>
    <w:rsid w:val="009B30F6"/>
    <w:rsid w:val="009C6D5E"/>
    <w:rsid w:val="009C6E8F"/>
    <w:rsid w:val="009C7F37"/>
    <w:rsid w:val="009D2116"/>
    <w:rsid w:val="009D30D4"/>
    <w:rsid w:val="009F5880"/>
    <w:rsid w:val="009F5A60"/>
    <w:rsid w:val="009F627C"/>
    <w:rsid w:val="00A06CD7"/>
    <w:rsid w:val="00A1273B"/>
    <w:rsid w:val="00A137E2"/>
    <w:rsid w:val="00A25E5B"/>
    <w:rsid w:val="00A317AF"/>
    <w:rsid w:val="00A412AA"/>
    <w:rsid w:val="00A46A56"/>
    <w:rsid w:val="00A520CB"/>
    <w:rsid w:val="00A53969"/>
    <w:rsid w:val="00A55575"/>
    <w:rsid w:val="00A644D4"/>
    <w:rsid w:val="00A65629"/>
    <w:rsid w:val="00A752E1"/>
    <w:rsid w:val="00A874B4"/>
    <w:rsid w:val="00A96404"/>
    <w:rsid w:val="00A96A20"/>
    <w:rsid w:val="00A978FC"/>
    <w:rsid w:val="00AA1718"/>
    <w:rsid w:val="00AA1D4B"/>
    <w:rsid w:val="00AA2B9B"/>
    <w:rsid w:val="00AA2EA2"/>
    <w:rsid w:val="00AA4C94"/>
    <w:rsid w:val="00AA7EE5"/>
    <w:rsid w:val="00AB0395"/>
    <w:rsid w:val="00AB2456"/>
    <w:rsid w:val="00AC1B7A"/>
    <w:rsid w:val="00AC2D54"/>
    <w:rsid w:val="00AD3EDA"/>
    <w:rsid w:val="00AD5287"/>
    <w:rsid w:val="00AD5EEB"/>
    <w:rsid w:val="00AE1084"/>
    <w:rsid w:val="00AE10DA"/>
    <w:rsid w:val="00AE3550"/>
    <w:rsid w:val="00AE6D90"/>
    <w:rsid w:val="00B01915"/>
    <w:rsid w:val="00B06F01"/>
    <w:rsid w:val="00B10028"/>
    <w:rsid w:val="00B1169A"/>
    <w:rsid w:val="00B14366"/>
    <w:rsid w:val="00B333F4"/>
    <w:rsid w:val="00B34626"/>
    <w:rsid w:val="00B44617"/>
    <w:rsid w:val="00B46E5C"/>
    <w:rsid w:val="00B47B63"/>
    <w:rsid w:val="00B55BBF"/>
    <w:rsid w:val="00B57DC5"/>
    <w:rsid w:val="00B617C0"/>
    <w:rsid w:val="00B654EE"/>
    <w:rsid w:val="00B92C37"/>
    <w:rsid w:val="00B93879"/>
    <w:rsid w:val="00B9506C"/>
    <w:rsid w:val="00B95905"/>
    <w:rsid w:val="00BA701C"/>
    <w:rsid w:val="00BA7999"/>
    <w:rsid w:val="00BA7AD7"/>
    <w:rsid w:val="00BB1EE7"/>
    <w:rsid w:val="00BB5E19"/>
    <w:rsid w:val="00BB68CE"/>
    <w:rsid w:val="00BC4372"/>
    <w:rsid w:val="00BD5909"/>
    <w:rsid w:val="00BD7897"/>
    <w:rsid w:val="00BE3306"/>
    <w:rsid w:val="00BE7595"/>
    <w:rsid w:val="00BF535B"/>
    <w:rsid w:val="00BF5838"/>
    <w:rsid w:val="00C00835"/>
    <w:rsid w:val="00C101D8"/>
    <w:rsid w:val="00C11E93"/>
    <w:rsid w:val="00C13BAC"/>
    <w:rsid w:val="00C13F7B"/>
    <w:rsid w:val="00C17BC0"/>
    <w:rsid w:val="00C237F3"/>
    <w:rsid w:val="00C23EF8"/>
    <w:rsid w:val="00C258CE"/>
    <w:rsid w:val="00C26898"/>
    <w:rsid w:val="00C34154"/>
    <w:rsid w:val="00C37CBF"/>
    <w:rsid w:val="00C44EEF"/>
    <w:rsid w:val="00C47F96"/>
    <w:rsid w:val="00C641FE"/>
    <w:rsid w:val="00C67943"/>
    <w:rsid w:val="00C73192"/>
    <w:rsid w:val="00C82650"/>
    <w:rsid w:val="00CA0152"/>
    <w:rsid w:val="00CA3BC8"/>
    <w:rsid w:val="00CB4536"/>
    <w:rsid w:val="00CB6B37"/>
    <w:rsid w:val="00CC55F7"/>
    <w:rsid w:val="00CC76E5"/>
    <w:rsid w:val="00CD459E"/>
    <w:rsid w:val="00CE593C"/>
    <w:rsid w:val="00D10E5E"/>
    <w:rsid w:val="00D1325D"/>
    <w:rsid w:val="00D20C62"/>
    <w:rsid w:val="00D23838"/>
    <w:rsid w:val="00D31446"/>
    <w:rsid w:val="00D32078"/>
    <w:rsid w:val="00D333E9"/>
    <w:rsid w:val="00D338F8"/>
    <w:rsid w:val="00D4329C"/>
    <w:rsid w:val="00D45231"/>
    <w:rsid w:val="00D469C3"/>
    <w:rsid w:val="00D62C2F"/>
    <w:rsid w:val="00D64566"/>
    <w:rsid w:val="00D756C7"/>
    <w:rsid w:val="00D77972"/>
    <w:rsid w:val="00D84C7A"/>
    <w:rsid w:val="00DA12DF"/>
    <w:rsid w:val="00DB7A29"/>
    <w:rsid w:val="00DC1B38"/>
    <w:rsid w:val="00DD3354"/>
    <w:rsid w:val="00DE3D86"/>
    <w:rsid w:val="00DE6992"/>
    <w:rsid w:val="00DE7F66"/>
    <w:rsid w:val="00DF0872"/>
    <w:rsid w:val="00E03753"/>
    <w:rsid w:val="00E05A6D"/>
    <w:rsid w:val="00E1170B"/>
    <w:rsid w:val="00E201FF"/>
    <w:rsid w:val="00E41BCE"/>
    <w:rsid w:val="00E430D8"/>
    <w:rsid w:val="00E51D7C"/>
    <w:rsid w:val="00E56A3C"/>
    <w:rsid w:val="00E7782E"/>
    <w:rsid w:val="00E8094E"/>
    <w:rsid w:val="00E81AFE"/>
    <w:rsid w:val="00E83697"/>
    <w:rsid w:val="00E84806"/>
    <w:rsid w:val="00E87809"/>
    <w:rsid w:val="00E97363"/>
    <w:rsid w:val="00EA0F18"/>
    <w:rsid w:val="00EA64F4"/>
    <w:rsid w:val="00EC7998"/>
    <w:rsid w:val="00ED32D0"/>
    <w:rsid w:val="00ED7411"/>
    <w:rsid w:val="00EE5536"/>
    <w:rsid w:val="00EF4E64"/>
    <w:rsid w:val="00F079ED"/>
    <w:rsid w:val="00F1041C"/>
    <w:rsid w:val="00F12823"/>
    <w:rsid w:val="00F166E5"/>
    <w:rsid w:val="00F16E9D"/>
    <w:rsid w:val="00F20C7D"/>
    <w:rsid w:val="00F218E8"/>
    <w:rsid w:val="00F23595"/>
    <w:rsid w:val="00F268BF"/>
    <w:rsid w:val="00F31A39"/>
    <w:rsid w:val="00F5189D"/>
    <w:rsid w:val="00F61880"/>
    <w:rsid w:val="00F6706C"/>
    <w:rsid w:val="00F70429"/>
    <w:rsid w:val="00F839F7"/>
    <w:rsid w:val="00F87EFC"/>
    <w:rsid w:val="00F97BD1"/>
    <w:rsid w:val="00FA7570"/>
    <w:rsid w:val="00FB4984"/>
    <w:rsid w:val="00FB6366"/>
    <w:rsid w:val="00FC350B"/>
    <w:rsid w:val="00FD1E01"/>
    <w:rsid w:val="00FD431E"/>
    <w:rsid w:val="00FE47D4"/>
    <w:rsid w:val="00FF02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3B3A"/>
  <w15:chartTrackingRefBased/>
  <w15:docId w15:val="{8E44C388-7003-F947-B2E5-2F436FBC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AC"/>
    <w:pPr>
      <w:spacing w:after="80" w:line="336" w:lineRule="auto"/>
    </w:pPr>
    <w:rPr>
      <w:rFonts w:ascii="Arial" w:hAnsi="Arial"/>
      <w:lang w:eastAsia="en-US"/>
    </w:rPr>
  </w:style>
  <w:style w:type="paragraph" w:styleId="Heading1">
    <w:name w:val="heading 1"/>
    <w:basedOn w:val="Normal"/>
    <w:next w:val="Normal"/>
    <w:link w:val="Heading1Char"/>
    <w:qFormat/>
    <w:rsid w:val="00C24DED"/>
    <w:pPr>
      <w:keepNext/>
      <w:ind w:firstLine="720"/>
      <w:jc w:val="right"/>
      <w:outlineLvl w:val="0"/>
    </w:pPr>
    <w:rPr>
      <w:rFonts w:ascii="Bookman Old Style" w:hAnsi="Bookman Old Style"/>
      <w:b/>
      <w:sz w:val="28"/>
      <w:lang w:eastAsia="x-none"/>
    </w:rPr>
  </w:style>
  <w:style w:type="paragraph" w:styleId="Heading2">
    <w:name w:val="heading 2"/>
    <w:basedOn w:val="Normal"/>
    <w:next w:val="Normal"/>
    <w:link w:val="Heading2Char"/>
    <w:qFormat/>
    <w:rsid w:val="00C24DED"/>
    <w:pPr>
      <w:keepNext/>
      <w:spacing w:before="240" w:after="60"/>
      <w:outlineLvl w:val="1"/>
    </w:pPr>
    <w:rPr>
      <w:b/>
      <w:bCs/>
      <w:i/>
      <w:iCs/>
      <w:sz w:val="28"/>
      <w:szCs w:val="28"/>
      <w:lang w:val="x-none" w:eastAsia="x-none"/>
    </w:rPr>
  </w:style>
  <w:style w:type="paragraph" w:styleId="Heading4">
    <w:name w:val="heading 4"/>
    <w:basedOn w:val="Normal"/>
    <w:next w:val="Normal"/>
    <w:link w:val="Heading4Char"/>
    <w:uiPriority w:val="9"/>
    <w:unhideWhenUsed/>
    <w:qFormat/>
    <w:rsid w:val="00C641F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E3"/>
    <w:pPr>
      <w:pBdr>
        <w:bottom w:val="single" w:sz="8" w:space="4" w:color="4F81BD"/>
      </w:pBdr>
      <w:spacing w:after="240" w:line="240" w:lineRule="auto"/>
      <w:contextualSpacing/>
    </w:pPr>
    <w:rPr>
      <w:rFonts w:ascii="Times New Roman" w:hAnsi="Times New Roman"/>
      <w:color w:val="17365D"/>
      <w:spacing w:val="5"/>
      <w:kern w:val="28"/>
      <w:sz w:val="32"/>
      <w:szCs w:val="52"/>
      <w:lang w:val="x-none" w:eastAsia="x-none"/>
    </w:rPr>
  </w:style>
  <w:style w:type="character" w:customStyle="1" w:styleId="TitleChar">
    <w:name w:val="Title Char"/>
    <w:link w:val="Title"/>
    <w:uiPriority w:val="10"/>
    <w:rsid w:val="00005FE3"/>
    <w:rPr>
      <w:rFonts w:ascii="Times New Roman" w:eastAsia="Times New Roman" w:hAnsi="Times New Roman" w:cs="Times New Roman"/>
      <w:color w:val="17365D"/>
      <w:spacing w:val="5"/>
      <w:kern w:val="28"/>
      <w:sz w:val="32"/>
      <w:szCs w:val="52"/>
    </w:rPr>
  </w:style>
  <w:style w:type="character" w:customStyle="1" w:styleId="Heading1Char">
    <w:name w:val="Heading 1 Char"/>
    <w:link w:val="Heading1"/>
    <w:rsid w:val="00C24DED"/>
    <w:rPr>
      <w:rFonts w:ascii="Bookman Old Style" w:hAnsi="Bookman Old Style" w:cs="Times New Roman"/>
      <w:b/>
      <w:sz w:val="28"/>
      <w:szCs w:val="20"/>
      <w:lang w:val="el-GR"/>
    </w:rPr>
  </w:style>
  <w:style w:type="character" w:customStyle="1" w:styleId="Heading2Char">
    <w:name w:val="Heading 2 Char"/>
    <w:link w:val="Heading2"/>
    <w:rsid w:val="00C24DED"/>
    <w:rPr>
      <w:rFonts w:ascii="Arial" w:hAnsi="Arial" w:cs="Arial"/>
      <w:b/>
      <w:bCs/>
      <w:i/>
      <w:iCs/>
      <w:sz w:val="28"/>
      <w:szCs w:val="28"/>
    </w:rPr>
  </w:style>
  <w:style w:type="paragraph" w:styleId="Footer">
    <w:name w:val="footer"/>
    <w:basedOn w:val="Normal"/>
    <w:link w:val="FooterChar"/>
    <w:uiPriority w:val="99"/>
    <w:rsid w:val="00C24DED"/>
    <w:pPr>
      <w:tabs>
        <w:tab w:val="center" w:pos="4153"/>
        <w:tab w:val="right" w:pos="8306"/>
      </w:tabs>
    </w:pPr>
    <w:rPr>
      <w:rFonts w:ascii="Times New Roman" w:hAnsi="Times New Roman"/>
      <w:lang w:val="x-none" w:eastAsia="x-none"/>
    </w:rPr>
  </w:style>
  <w:style w:type="character" w:customStyle="1" w:styleId="FooterChar">
    <w:name w:val="Footer Char"/>
    <w:link w:val="Footer"/>
    <w:uiPriority w:val="99"/>
    <w:rsid w:val="00C24DED"/>
    <w:rPr>
      <w:rFonts w:ascii="Times New Roman" w:hAnsi="Times New Roman" w:cs="Times New Roman"/>
      <w:sz w:val="20"/>
      <w:szCs w:val="20"/>
    </w:rPr>
  </w:style>
  <w:style w:type="character" w:styleId="PageNumber">
    <w:name w:val="page number"/>
    <w:basedOn w:val="DefaultParagraphFont"/>
    <w:rsid w:val="00C24DED"/>
  </w:style>
  <w:style w:type="paragraph" w:styleId="Header">
    <w:name w:val="header"/>
    <w:basedOn w:val="Normal"/>
    <w:link w:val="HeaderChar"/>
    <w:uiPriority w:val="99"/>
    <w:unhideWhenUsed/>
    <w:rsid w:val="00C24DED"/>
    <w:pPr>
      <w:tabs>
        <w:tab w:val="center" w:pos="4320"/>
        <w:tab w:val="right" w:pos="8640"/>
      </w:tabs>
    </w:pPr>
    <w:rPr>
      <w:rFonts w:ascii="Times New Roman" w:hAnsi="Times New Roman"/>
      <w:lang w:val="x-none" w:eastAsia="x-none"/>
    </w:rPr>
  </w:style>
  <w:style w:type="character" w:customStyle="1" w:styleId="HeaderChar">
    <w:name w:val="Header Char"/>
    <w:link w:val="Header"/>
    <w:uiPriority w:val="99"/>
    <w:rsid w:val="00C24DED"/>
    <w:rPr>
      <w:rFonts w:ascii="Times New Roman" w:hAnsi="Times New Roman" w:cs="Times New Roman"/>
      <w:sz w:val="20"/>
      <w:szCs w:val="20"/>
    </w:rPr>
  </w:style>
  <w:style w:type="character" w:styleId="IntenseEmphasis">
    <w:name w:val="Intense Emphasis"/>
    <w:uiPriority w:val="21"/>
    <w:qFormat/>
    <w:rsid w:val="00CE04C2"/>
    <w:rPr>
      <w:rFonts w:ascii="Arial" w:hAnsi="Arial"/>
      <w:b/>
      <w:bCs/>
      <w:i/>
      <w:iCs/>
      <w:color w:val="auto"/>
      <w:sz w:val="20"/>
      <w:u w:val="none"/>
    </w:rPr>
  </w:style>
  <w:style w:type="paragraph" w:customStyle="1" w:styleId="a">
    <w:name w:val="Δελτίο Τύπου ΤΕΕ"/>
    <w:basedOn w:val="Normal"/>
    <w:link w:val="Char"/>
    <w:autoRedefine/>
    <w:qFormat/>
    <w:rsid w:val="00DD3354"/>
    <w:pPr>
      <w:spacing w:after="0" w:line="240" w:lineRule="auto"/>
      <w:jc w:val="right"/>
    </w:pPr>
    <w:rPr>
      <w:b/>
      <w:sz w:val="24"/>
      <w:szCs w:val="24"/>
      <w:lang w:val="x-none" w:eastAsia="x-none"/>
    </w:rPr>
  </w:style>
  <w:style w:type="character" w:customStyle="1" w:styleId="Char">
    <w:name w:val="Δελτίο Τύπου ΤΕΕ Char"/>
    <w:link w:val="a"/>
    <w:rsid w:val="00DD3354"/>
    <w:rPr>
      <w:rFonts w:ascii="Arial" w:hAnsi="Arial"/>
      <w:b/>
      <w:sz w:val="24"/>
      <w:szCs w:val="24"/>
      <w:lang w:val="x-none" w:eastAsia="x-none"/>
    </w:rPr>
  </w:style>
  <w:style w:type="paragraph" w:styleId="BalloonText">
    <w:name w:val="Balloon Text"/>
    <w:basedOn w:val="Normal"/>
    <w:link w:val="BalloonTextChar"/>
    <w:uiPriority w:val="99"/>
    <w:semiHidden/>
    <w:unhideWhenUsed/>
    <w:rsid w:val="00C47209"/>
    <w:rPr>
      <w:rFonts w:ascii="Tahoma" w:hAnsi="Tahoma"/>
      <w:sz w:val="16"/>
      <w:szCs w:val="16"/>
      <w:lang w:val="x-none" w:eastAsia="x-none"/>
    </w:rPr>
  </w:style>
  <w:style w:type="character" w:customStyle="1" w:styleId="BalloonTextChar">
    <w:name w:val="Balloon Text Char"/>
    <w:link w:val="BalloonText"/>
    <w:uiPriority w:val="99"/>
    <w:semiHidden/>
    <w:rsid w:val="00C47209"/>
    <w:rPr>
      <w:rFonts w:ascii="Tahoma" w:hAnsi="Tahoma" w:cs="Tahoma"/>
      <w:sz w:val="16"/>
      <w:szCs w:val="16"/>
    </w:rPr>
  </w:style>
  <w:style w:type="character" w:styleId="Hyperlink">
    <w:name w:val="Hyperlink"/>
    <w:uiPriority w:val="99"/>
    <w:rsid w:val="007A7F51"/>
    <w:rPr>
      <w:color w:val="0000FF"/>
      <w:u w:val="single"/>
    </w:rPr>
  </w:style>
  <w:style w:type="character" w:styleId="Strong">
    <w:name w:val="Strong"/>
    <w:uiPriority w:val="22"/>
    <w:qFormat/>
    <w:rsid w:val="000D2842"/>
    <w:rPr>
      <w:b/>
      <w:bCs/>
    </w:rPr>
  </w:style>
  <w:style w:type="paragraph" w:styleId="ListParagraph">
    <w:name w:val="List Paragraph"/>
    <w:aliases w:val="Kommentar,Bullet List,FooterText,numbered,Paragraphe de liste1,lp1,Diligence Check,Bullet2,Bullet21,bl1,Bullet22,Bullet23,Bullet211,Bullet24,Bullet25,Bullet26,Bullet27,bl11,Bullet212,Bullet28,bl12,Bullet213,Bullet29,bl13,Bullet214"/>
    <w:basedOn w:val="Normal"/>
    <w:uiPriority w:val="34"/>
    <w:qFormat/>
    <w:rsid w:val="008E4151"/>
    <w:pPr>
      <w:ind w:left="720"/>
      <w:contextualSpacing/>
    </w:pPr>
  </w:style>
  <w:style w:type="paragraph" w:customStyle="1" w:styleId="Body1">
    <w:name w:val="Body 1"/>
    <w:rsid w:val="00577053"/>
    <w:rPr>
      <w:rFonts w:ascii="Helvetica" w:eastAsia="Arial Unicode MS" w:hAnsi="Helvetica"/>
      <w:color w:val="000000"/>
      <w:sz w:val="24"/>
    </w:rPr>
  </w:style>
  <w:style w:type="paragraph" w:customStyle="1" w:styleId="Default">
    <w:name w:val="Default"/>
    <w:rsid w:val="005B17E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C47F96"/>
    <w:pPr>
      <w:spacing w:before="100" w:beforeAutospacing="1" w:after="100" w:afterAutospacing="1" w:line="240" w:lineRule="auto"/>
    </w:pPr>
    <w:rPr>
      <w:rFonts w:ascii="Times New Roman" w:hAnsi="Times New Roman"/>
      <w:sz w:val="24"/>
      <w:szCs w:val="24"/>
      <w:lang w:eastAsia="el-GR"/>
    </w:rPr>
  </w:style>
  <w:style w:type="character" w:styleId="Emphasis">
    <w:name w:val="Emphasis"/>
    <w:uiPriority w:val="20"/>
    <w:qFormat/>
    <w:rsid w:val="00991C2F"/>
    <w:rPr>
      <w:i/>
      <w:iCs/>
    </w:rPr>
  </w:style>
  <w:style w:type="character" w:customStyle="1" w:styleId="st">
    <w:name w:val="st"/>
    <w:basedOn w:val="DefaultParagraphFont"/>
    <w:rsid w:val="00991C2F"/>
  </w:style>
  <w:style w:type="character" w:customStyle="1" w:styleId="apple-converted-space">
    <w:name w:val="apple-converted-space"/>
    <w:basedOn w:val="DefaultParagraphFont"/>
    <w:rsid w:val="00915252"/>
  </w:style>
  <w:style w:type="paragraph" w:styleId="BodyTextIndent">
    <w:name w:val="Body Text Indent"/>
    <w:basedOn w:val="Normal"/>
    <w:link w:val="BodyTextIndentChar"/>
    <w:rsid w:val="00841C9A"/>
    <w:pPr>
      <w:spacing w:after="0" w:line="240" w:lineRule="auto"/>
      <w:ind w:firstLine="720"/>
    </w:pPr>
    <w:rPr>
      <w:sz w:val="24"/>
    </w:rPr>
  </w:style>
  <w:style w:type="character" w:customStyle="1" w:styleId="BodyTextIndentChar">
    <w:name w:val="Body Text Indent Char"/>
    <w:link w:val="BodyTextIndent"/>
    <w:rsid w:val="00841C9A"/>
    <w:rPr>
      <w:rFonts w:ascii="Arial" w:hAnsi="Arial"/>
      <w:sz w:val="24"/>
      <w:lang w:eastAsia="en-US"/>
    </w:rPr>
  </w:style>
  <w:style w:type="character" w:customStyle="1" w:styleId="textexposedshow">
    <w:name w:val="text_exposed_show"/>
    <w:basedOn w:val="DefaultParagraphFont"/>
    <w:rsid w:val="00E41BCE"/>
  </w:style>
  <w:style w:type="paragraph" w:customStyle="1" w:styleId="a0">
    <w:name w:val="Κυρίως τμήμα"/>
    <w:rsid w:val="006A0C90"/>
    <w:rPr>
      <w:rFonts w:ascii="Helvetica" w:eastAsia="Arial Unicode MS" w:hAnsi="Arial Unicode MS" w:cs="Arial Unicode MS"/>
      <w:color w:val="000000"/>
      <w:sz w:val="22"/>
      <w:szCs w:val="22"/>
    </w:rPr>
  </w:style>
  <w:style w:type="numbering" w:customStyle="1" w:styleId="List0">
    <w:name w:val="List 0"/>
    <w:basedOn w:val="NoList"/>
    <w:rsid w:val="0089235F"/>
    <w:pPr>
      <w:numPr>
        <w:numId w:val="2"/>
      </w:numPr>
    </w:pPr>
  </w:style>
  <w:style w:type="paragraph" w:customStyle="1" w:styleId="1">
    <w:name w:val="Παράγραφος λίστας1"/>
    <w:rsid w:val="0089235F"/>
    <w:pPr>
      <w:spacing w:after="160" w:line="259" w:lineRule="auto"/>
      <w:ind w:left="720"/>
    </w:pPr>
    <w:rPr>
      <w:rFonts w:eastAsia="Calibri" w:cs="Calibri"/>
      <w:color w:val="000000"/>
      <w:sz w:val="22"/>
      <w:szCs w:val="22"/>
      <w:u w:color="000000"/>
    </w:rPr>
  </w:style>
  <w:style w:type="paragraph" w:customStyle="1" w:styleId="10">
    <w:name w:val="Χωρίς διάστιχο1"/>
    <w:rsid w:val="0089235F"/>
    <w:rPr>
      <w:rFonts w:eastAsia="Calibri" w:cs="Calibri"/>
      <w:color w:val="000000"/>
      <w:sz w:val="22"/>
      <w:szCs w:val="22"/>
      <w:u w:color="000000"/>
    </w:rPr>
  </w:style>
  <w:style w:type="character" w:customStyle="1" w:styleId="Hyperlink0">
    <w:name w:val="Hyperlink.0"/>
    <w:autoRedefine/>
    <w:rsid w:val="0089235F"/>
    <w:rPr>
      <w:rFonts w:ascii="Calibri" w:eastAsia="Calibri" w:hAnsi="Calibri" w:cs="Calibri"/>
      <w:color w:val="0000FF"/>
      <w:sz w:val="24"/>
      <w:szCs w:val="24"/>
      <w:u w:val="single" w:color="0000FF"/>
      <w:rtl w:val="0"/>
    </w:rPr>
  </w:style>
  <w:style w:type="numbering" w:customStyle="1" w:styleId="21">
    <w:name w:val="Λίστα 21"/>
    <w:basedOn w:val="NoList"/>
    <w:autoRedefine/>
    <w:semiHidden/>
    <w:rsid w:val="0089235F"/>
    <w:pPr>
      <w:numPr>
        <w:numId w:val="1"/>
      </w:numPr>
    </w:pPr>
  </w:style>
  <w:style w:type="character" w:customStyle="1" w:styleId="Heading4Char">
    <w:name w:val="Heading 4 Char"/>
    <w:link w:val="Heading4"/>
    <w:uiPriority w:val="9"/>
    <w:rsid w:val="00C641FE"/>
    <w:rPr>
      <w:rFonts w:ascii="Calibri" w:eastAsia="Times New Roman" w:hAnsi="Calibri" w:cs="Times New Roman"/>
      <w:b/>
      <w:bCs/>
      <w:sz w:val="28"/>
      <w:szCs w:val="28"/>
      <w:lang w:eastAsia="en-US"/>
    </w:rPr>
  </w:style>
  <w:style w:type="table" w:styleId="TableGrid">
    <w:name w:val="Table Grid"/>
    <w:basedOn w:val="TableNormal"/>
    <w:uiPriority w:val="59"/>
    <w:rsid w:val="00835E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nalignleft">
    <w:name w:val="dnnalignleft"/>
    <w:basedOn w:val="DefaultParagraphFont"/>
    <w:rsid w:val="00F23595"/>
  </w:style>
  <w:style w:type="character" w:styleId="CommentReference">
    <w:name w:val="annotation reference"/>
    <w:basedOn w:val="DefaultParagraphFont"/>
    <w:uiPriority w:val="99"/>
    <w:semiHidden/>
    <w:unhideWhenUsed/>
    <w:rsid w:val="00344E93"/>
    <w:rPr>
      <w:sz w:val="16"/>
      <w:szCs w:val="16"/>
    </w:rPr>
  </w:style>
  <w:style w:type="paragraph" w:styleId="CommentText">
    <w:name w:val="annotation text"/>
    <w:basedOn w:val="Normal"/>
    <w:link w:val="CommentTextChar"/>
    <w:uiPriority w:val="99"/>
    <w:semiHidden/>
    <w:unhideWhenUsed/>
    <w:rsid w:val="00344E93"/>
    <w:pPr>
      <w:spacing w:line="240" w:lineRule="auto"/>
    </w:pPr>
  </w:style>
  <w:style w:type="character" w:customStyle="1" w:styleId="CommentTextChar">
    <w:name w:val="Comment Text Char"/>
    <w:basedOn w:val="DefaultParagraphFont"/>
    <w:link w:val="CommentText"/>
    <w:uiPriority w:val="99"/>
    <w:semiHidden/>
    <w:rsid w:val="00344E9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4E93"/>
    <w:rPr>
      <w:b/>
      <w:bCs/>
    </w:rPr>
  </w:style>
  <w:style w:type="character" w:customStyle="1" w:styleId="CommentSubjectChar">
    <w:name w:val="Comment Subject Char"/>
    <w:basedOn w:val="CommentTextChar"/>
    <w:link w:val="CommentSubject"/>
    <w:uiPriority w:val="99"/>
    <w:semiHidden/>
    <w:rsid w:val="00344E93"/>
    <w:rPr>
      <w:rFonts w:ascii="Arial" w:hAnsi="Arial"/>
      <w:b/>
      <w:bCs/>
      <w:lang w:eastAsia="en-US"/>
    </w:rPr>
  </w:style>
  <w:style w:type="paragraph" w:styleId="Revision">
    <w:name w:val="Revision"/>
    <w:hidden/>
    <w:uiPriority w:val="99"/>
    <w:semiHidden/>
    <w:rsid w:val="00762FC2"/>
    <w:rPr>
      <w:rFonts w:ascii="Arial" w:hAnsi="Arial"/>
      <w:lang w:eastAsia="en-US"/>
    </w:rPr>
  </w:style>
  <w:style w:type="character" w:styleId="UnresolvedMention">
    <w:name w:val="Unresolved Mention"/>
    <w:basedOn w:val="DefaultParagraphFont"/>
    <w:uiPriority w:val="99"/>
    <w:semiHidden/>
    <w:unhideWhenUsed/>
    <w:rsid w:val="00A1273B"/>
    <w:rPr>
      <w:color w:val="605E5C"/>
      <w:shd w:val="clear" w:color="auto" w:fill="E1DFDD"/>
    </w:rPr>
  </w:style>
  <w:style w:type="table" w:customStyle="1" w:styleId="TableGrid1">
    <w:name w:val="Table Grid1"/>
    <w:basedOn w:val="TableNormal"/>
    <w:next w:val="TableGrid"/>
    <w:uiPriority w:val="39"/>
    <w:rsid w:val="004A4A9A"/>
    <w:rPr>
      <w:rFonts w:asciiTheme="minorHAnsi" w:eastAsiaTheme="minorHAnsi" w:hAnsiTheme="minorHAnsi" w:cstheme="minorBid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02565">
      <w:bodyDiv w:val="1"/>
      <w:marLeft w:val="0"/>
      <w:marRight w:val="0"/>
      <w:marTop w:val="0"/>
      <w:marBottom w:val="0"/>
      <w:divBdr>
        <w:top w:val="none" w:sz="0" w:space="0" w:color="auto"/>
        <w:left w:val="none" w:sz="0" w:space="0" w:color="auto"/>
        <w:bottom w:val="none" w:sz="0" w:space="0" w:color="auto"/>
        <w:right w:val="none" w:sz="0" w:space="0" w:color="auto"/>
      </w:divBdr>
    </w:div>
    <w:div w:id="481579903">
      <w:bodyDiv w:val="1"/>
      <w:marLeft w:val="0"/>
      <w:marRight w:val="0"/>
      <w:marTop w:val="0"/>
      <w:marBottom w:val="0"/>
      <w:divBdr>
        <w:top w:val="none" w:sz="0" w:space="0" w:color="auto"/>
        <w:left w:val="none" w:sz="0" w:space="0" w:color="auto"/>
        <w:bottom w:val="none" w:sz="0" w:space="0" w:color="auto"/>
        <w:right w:val="none" w:sz="0" w:space="0" w:color="auto"/>
      </w:divBdr>
    </w:div>
    <w:div w:id="587272744">
      <w:bodyDiv w:val="1"/>
      <w:marLeft w:val="0"/>
      <w:marRight w:val="0"/>
      <w:marTop w:val="0"/>
      <w:marBottom w:val="0"/>
      <w:divBdr>
        <w:top w:val="none" w:sz="0" w:space="0" w:color="auto"/>
        <w:left w:val="none" w:sz="0" w:space="0" w:color="auto"/>
        <w:bottom w:val="none" w:sz="0" w:space="0" w:color="auto"/>
        <w:right w:val="none" w:sz="0" w:space="0" w:color="auto"/>
      </w:divBdr>
    </w:div>
    <w:div w:id="613749489">
      <w:bodyDiv w:val="1"/>
      <w:marLeft w:val="0"/>
      <w:marRight w:val="0"/>
      <w:marTop w:val="0"/>
      <w:marBottom w:val="0"/>
      <w:divBdr>
        <w:top w:val="none" w:sz="0" w:space="0" w:color="auto"/>
        <w:left w:val="none" w:sz="0" w:space="0" w:color="auto"/>
        <w:bottom w:val="none" w:sz="0" w:space="0" w:color="auto"/>
        <w:right w:val="none" w:sz="0" w:space="0" w:color="auto"/>
      </w:divBdr>
    </w:div>
    <w:div w:id="625355236">
      <w:bodyDiv w:val="1"/>
      <w:marLeft w:val="0"/>
      <w:marRight w:val="0"/>
      <w:marTop w:val="0"/>
      <w:marBottom w:val="0"/>
      <w:divBdr>
        <w:top w:val="none" w:sz="0" w:space="0" w:color="auto"/>
        <w:left w:val="none" w:sz="0" w:space="0" w:color="auto"/>
        <w:bottom w:val="none" w:sz="0" w:space="0" w:color="auto"/>
        <w:right w:val="none" w:sz="0" w:space="0" w:color="auto"/>
      </w:divBdr>
      <w:divsChild>
        <w:div w:id="1040319189">
          <w:marLeft w:val="0"/>
          <w:marRight w:val="0"/>
          <w:marTop w:val="0"/>
          <w:marBottom w:val="0"/>
          <w:divBdr>
            <w:top w:val="none" w:sz="0" w:space="0" w:color="auto"/>
            <w:left w:val="none" w:sz="0" w:space="0" w:color="auto"/>
            <w:bottom w:val="none" w:sz="0" w:space="0" w:color="auto"/>
            <w:right w:val="none" w:sz="0" w:space="0" w:color="auto"/>
          </w:divBdr>
        </w:div>
      </w:divsChild>
    </w:div>
    <w:div w:id="806237587">
      <w:bodyDiv w:val="1"/>
      <w:marLeft w:val="0"/>
      <w:marRight w:val="0"/>
      <w:marTop w:val="0"/>
      <w:marBottom w:val="0"/>
      <w:divBdr>
        <w:top w:val="none" w:sz="0" w:space="0" w:color="auto"/>
        <w:left w:val="none" w:sz="0" w:space="0" w:color="auto"/>
        <w:bottom w:val="none" w:sz="0" w:space="0" w:color="auto"/>
        <w:right w:val="none" w:sz="0" w:space="0" w:color="auto"/>
      </w:divBdr>
    </w:div>
    <w:div w:id="870995108">
      <w:bodyDiv w:val="1"/>
      <w:marLeft w:val="0"/>
      <w:marRight w:val="0"/>
      <w:marTop w:val="0"/>
      <w:marBottom w:val="0"/>
      <w:divBdr>
        <w:top w:val="none" w:sz="0" w:space="0" w:color="auto"/>
        <w:left w:val="none" w:sz="0" w:space="0" w:color="auto"/>
        <w:bottom w:val="none" w:sz="0" w:space="0" w:color="auto"/>
        <w:right w:val="none" w:sz="0" w:space="0" w:color="auto"/>
      </w:divBdr>
      <w:divsChild>
        <w:div w:id="468981049">
          <w:marLeft w:val="0"/>
          <w:marRight w:val="0"/>
          <w:marTop w:val="0"/>
          <w:marBottom w:val="0"/>
          <w:divBdr>
            <w:top w:val="none" w:sz="0" w:space="0" w:color="auto"/>
            <w:left w:val="none" w:sz="0" w:space="0" w:color="auto"/>
            <w:bottom w:val="none" w:sz="0" w:space="0" w:color="auto"/>
            <w:right w:val="none" w:sz="0" w:space="0" w:color="auto"/>
          </w:divBdr>
          <w:divsChild>
            <w:div w:id="1497190453">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901520485">
      <w:bodyDiv w:val="1"/>
      <w:marLeft w:val="0"/>
      <w:marRight w:val="0"/>
      <w:marTop w:val="0"/>
      <w:marBottom w:val="0"/>
      <w:divBdr>
        <w:top w:val="none" w:sz="0" w:space="0" w:color="auto"/>
        <w:left w:val="none" w:sz="0" w:space="0" w:color="auto"/>
        <w:bottom w:val="none" w:sz="0" w:space="0" w:color="auto"/>
        <w:right w:val="none" w:sz="0" w:space="0" w:color="auto"/>
      </w:divBdr>
    </w:div>
    <w:div w:id="1040058506">
      <w:bodyDiv w:val="1"/>
      <w:marLeft w:val="0"/>
      <w:marRight w:val="0"/>
      <w:marTop w:val="0"/>
      <w:marBottom w:val="0"/>
      <w:divBdr>
        <w:top w:val="none" w:sz="0" w:space="0" w:color="auto"/>
        <w:left w:val="none" w:sz="0" w:space="0" w:color="auto"/>
        <w:bottom w:val="none" w:sz="0" w:space="0" w:color="auto"/>
        <w:right w:val="none" w:sz="0" w:space="0" w:color="auto"/>
      </w:divBdr>
      <w:divsChild>
        <w:div w:id="239365497">
          <w:marLeft w:val="0"/>
          <w:marRight w:val="0"/>
          <w:marTop w:val="0"/>
          <w:marBottom w:val="0"/>
          <w:divBdr>
            <w:top w:val="none" w:sz="0" w:space="0" w:color="auto"/>
            <w:left w:val="none" w:sz="0" w:space="0" w:color="auto"/>
            <w:bottom w:val="none" w:sz="0" w:space="0" w:color="auto"/>
            <w:right w:val="none" w:sz="0" w:space="0" w:color="auto"/>
          </w:divBdr>
        </w:div>
        <w:div w:id="303585619">
          <w:marLeft w:val="0"/>
          <w:marRight w:val="0"/>
          <w:marTop w:val="0"/>
          <w:marBottom w:val="0"/>
          <w:divBdr>
            <w:top w:val="none" w:sz="0" w:space="0" w:color="auto"/>
            <w:left w:val="none" w:sz="0" w:space="0" w:color="auto"/>
            <w:bottom w:val="none" w:sz="0" w:space="0" w:color="auto"/>
            <w:right w:val="none" w:sz="0" w:space="0" w:color="auto"/>
          </w:divBdr>
        </w:div>
        <w:div w:id="376665525">
          <w:marLeft w:val="0"/>
          <w:marRight w:val="0"/>
          <w:marTop w:val="0"/>
          <w:marBottom w:val="0"/>
          <w:divBdr>
            <w:top w:val="none" w:sz="0" w:space="0" w:color="auto"/>
            <w:left w:val="none" w:sz="0" w:space="0" w:color="auto"/>
            <w:bottom w:val="none" w:sz="0" w:space="0" w:color="auto"/>
            <w:right w:val="none" w:sz="0" w:space="0" w:color="auto"/>
          </w:divBdr>
        </w:div>
        <w:div w:id="556478797">
          <w:marLeft w:val="0"/>
          <w:marRight w:val="0"/>
          <w:marTop w:val="0"/>
          <w:marBottom w:val="0"/>
          <w:divBdr>
            <w:top w:val="none" w:sz="0" w:space="0" w:color="auto"/>
            <w:left w:val="none" w:sz="0" w:space="0" w:color="auto"/>
            <w:bottom w:val="none" w:sz="0" w:space="0" w:color="auto"/>
            <w:right w:val="none" w:sz="0" w:space="0" w:color="auto"/>
          </w:divBdr>
        </w:div>
        <w:div w:id="769856735">
          <w:marLeft w:val="0"/>
          <w:marRight w:val="0"/>
          <w:marTop w:val="0"/>
          <w:marBottom w:val="0"/>
          <w:divBdr>
            <w:top w:val="none" w:sz="0" w:space="0" w:color="auto"/>
            <w:left w:val="none" w:sz="0" w:space="0" w:color="auto"/>
            <w:bottom w:val="none" w:sz="0" w:space="0" w:color="auto"/>
            <w:right w:val="none" w:sz="0" w:space="0" w:color="auto"/>
          </w:divBdr>
        </w:div>
        <w:div w:id="904685406">
          <w:marLeft w:val="0"/>
          <w:marRight w:val="0"/>
          <w:marTop w:val="0"/>
          <w:marBottom w:val="0"/>
          <w:divBdr>
            <w:top w:val="none" w:sz="0" w:space="0" w:color="auto"/>
            <w:left w:val="none" w:sz="0" w:space="0" w:color="auto"/>
            <w:bottom w:val="none" w:sz="0" w:space="0" w:color="auto"/>
            <w:right w:val="none" w:sz="0" w:space="0" w:color="auto"/>
          </w:divBdr>
          <w:divsChild>
            <w:div w:id="768234223">
              <w:marLeft w:val="0"/>
              <w:marRight w:val="0"/>
              <w:marTop w:val="0"/>
              <w:marBottom w:val="0"/>
              <w:divBdr>
                <w:top w:val="none" w:sz="0" w:space="0" w:color="auto"/>
                <w:left w:val="none" w:sz="0" w:space="0" w:color="auto"/>
                <w:bottom w:val="none" w:sz="0" w:space="0" w:color="auto"/>
                <w:right w:val="none" w:sz="0" w:space="0" w:color="auto"/>
              </w:divBdr>
            </w:div>
            <w:div w:id="1208293580">
              <w:marLeft w:val="0"/>
              <w:marRight w:val="0"/>
              <w:marTop w:val="0"/>
              <w:marBottom w:val="0"/>
              <w:divBdr>
                <w:top w:val="none" w:sz="0" w:space="0" w:color="auto"/>
                <w:left w:val="none" w:sz="0" w:space="0" w:color="auto"/>
                <w:bottom w:val="none" w:sz="0" w:space="0" w:color="auto"/>
                <w:right w:val="none" w:sz="0" w:space="0" w:color="auto"/>
              </w:divBdr>
            </w:div>
            <w:div w:id="1308902817">
              <w:marLeft w:val="0"/>
              <w:marRight w:val="0"/>
              <w:marTop w:val="0"/>
              <w:marBottom w:val="0"/>
              <w:divBdr>
                <w:top w:val="none" w:sz="0" w:space="0" w:color="auto"/>
                <w:left w:val="none" w:sz="0" w:space="0" w:color="auto"/>
                <w:bottom w:val="none" w:sz="0" w:space="0" w:color="auto"/>
                <w:right w:val="none" w:sz="0" w:space="0" w:color="auto"/>
              </w:divBdr>
            </w:div>
            <w:div w:id="1428885893">
              <w:marLeft w:val="0"/>
              <w:marRight w:val="0"/>
              <w:marTop w:val="0"/>
              <w:marBottom w:val="0"/>
              <w:divBdr>
                <w:top w:val="none" w:sz="0" w:space="0" w:color="auto"/>
                <w:left w:val="none" w:sz="0" w:space="0" w:color="auto"/>
                <w:bottom w:val="none" w:sz="0" w:space="0" w:color="auto"/>
                <w:right w:val="none" w:sz="0" w:space="0" w:color="auto"/>
              </w:divBdr>
            </w:div>
            <w:div w:id="2117360291">
              <w:marLeft w:val="0"/>
              <w:marRight w:val="0"/>
              <w:marTop w:val="0"/>
              <w:marBottom w:val="0"/>
              <w:divBdr>
                <w:top w:val="none" w:sz="0" w:space="0" w:color="auto"/>
                <w:left w:val="none" w:sz="0" w:space="0" w:color="auto"/>
                <w:bottom w:val="none" w:sz="0" w:space="0" w:color="auto"/>
                <w:right w:val="none" w:sz="0" w:space="0" w:color="auto"/>
              </w:divBdr>
            </w:div>
          </w:divsChild>
        </w:div>
        <w:div w:id="1017268118">
          <w:marLeft w:val="0"/>
          <w:marRight w:val="0"/>
          <w:marTop w:val="0"/>
          <w:marBottom w:val="0"/>
          <w:divBdr>
            <w:top w:val="none" w:sz="0" w:space="0" w:color="auto"/>
            <w:left w:val="none" w:sz="0" w:space="0" w:color="auto"/>
            <w:bottom w:val="none" w:sz="0" w:space="0" w:color="auto"/>
            <w:right w:val="none" w:sz="0" w:space="0" w:color="auto"/>
          </w:divBdr>
        </w:div>
        <w:div w:id="1121532172">
          <w:marLeft w:val="0"/>
          <w:marRight w:val="0"/>
          <w:marTop w:val="0"/>
          <w:marBottom w:val="0"/>
          <w:divBdr>
            <w:top w:val="none" w:sz="0" w:space="0" w:color="auto"/>
            <w:left w:val="none" w:sz="0" w:space="0" w:color="auto"/>
            <w:bottom w:val="none" w:sz="0" w:space="0" w:color="auto"/>
            <w:right w:val="none" w:sz="0" w:space="0" w:color="auto"/>
          </w:divBdr>
        </w:div>
        <w:div w:id="1161894475">
          <w:marLeft w:val="0"/>
          <w:marRight w:val="0"/>
          <w:marTop w:val="0"/>
          <w:marBottom w:val="0"/>
          <w:divBdr>
            <w:top w:val="none" w:sz="0" w:space="0" w:color="auto"/>
            <w:left w:val="none" w:sz="0" w:space="0" w:color="auto"/>
            <w:bottom w:val="none" w:sz="0" w:space="0" w:color="auto"/>
            <w:right w:val="none" w:sz="0" w:space="0" w:color="auto"/>
          </w:divBdr>
        </w:div>
        <w:div w:id="1271857561">
          <w:marLeft w:val="0"/>
          <w:marRight w:val="0"/>
          <w:marTop w:val="0"/>
          <w:marBottom w:val="0"/>
          <w:divBdr>
            <w:top w:val="none" w:sz="0" w:space="0" w:color="auto"/>
            <w:left w:val="none" w:sz="0" w:space="0" w:color="auto"/>
            <w:bottom w:val="none" w:sz="0" w:space="0" w:color="auto"/>
            <w:right w:val="none" w:sz="0" w:space="0" w:color="auto"/>
          </w:divBdr>
        </w:div>
        <w:div w:id="1356423994">
          <w:marLeft w:val="0"/>
          <w:marRight w:val="0"/>
          <w:marTop w:val="0"/>
          <w:marBottom w:val="0"/>
          <w:divBdr>
            <w:top w:val="none" w:sz="0" w:space="0" w:color="auto"/>
            <w:left w:val="none" w:sz="0" w:space="0" w:color="auto"/>
            <w:bottom w:val="none" w:sz="0" w:space="0" w:color="auto"/>
            <w:right w:val="none" w:sz="0" w:space="0" w:color="auto"/>
          </w:divBdr>
        </w:div>
        <w:div w:id="1375305649">
          <w:marLeft w:val="0"/>
          <w:marRight w:val="0"/>
          <w:marTop w:val="0"/>
          <w:marBottom w:val="0"/>
          <w:divBdr>
            <w:top w:val="none" w:sz="0" w:space="0" w:color="auto"/>
            <w:left w:val="none" w:sz="0" w:space="0" w:color="auto"/>
            <w:bottom w:val="none" w:sz="0" w:space="0" w:color="auto"/>
            <w:right w:val="none" w:sz="0" w:space="0" w:color="auto"/>
          </w:divBdr>
        </w:div>
        <w:div w:id="1707872180">
          <w:marLeft w:val="0"/>
          <w:marRight w:val="0"/>
          <w:marTop w:val="0"/>
          <w:marBottom w:val="0"/>
          <w:divBdr>
            <w:top w:val="none" w:sz="0" w:space="0" w:color="auto"/>
            <w:left w:val="none" w:sz="0" w:space="0" w:color="auto"/>
            <w:bottom w:val="none" w:sz="0" w:space="0" w:color="auto"/>
            <w:right w:val="none" w:sz="0" w:space="0" w:color="auto"/>
          </w:divBdr>
        </w:div>
        <w:div w:id="1722095410">
          <w:marLeft w:val="0"/>
          <w:marRight w:val="0"/>
          <w:marTop w:val="0"/>
          <w:marBottom w:val="0"/>
          <w:divBdr>
            <w:top w:val="none" w:sz="0" w:space="0" w:color="auto"/>
            <w:left w:val="none" w:sz="0" w:space="0" w:color="auto"/>
            <w:bottom w:val="none" w:sz="0" w:space="0" w:color="auto"/>
            <w:right w:val="none" w:sz="0" w:space="0" w:color="auto"/>
          </w:divBdr>
        </w:div>
        <w:div w:id="1893275164">
          <w:marLeft w:val="0"/>
          <w:marRight w:val="0"/>
          <w:marTop w:val="0"/>
          <w:marBottom w:val="0"/>
          <w:divBdr>
            <w:top w:val="none" w:sz="0" w:space="0" w:color="auto"/>
            <w:left w:val="none" w:sz="0" w:space="0" w:color="auto"/>
            <w:bottom w:val="none" w:sz="0" w:space="0" w:color="auto"/>
            <w:right w:val="none" w:sz="0" w:space="0" w:color="auto"/>
          </w:divBdr>
        </w:div>
        <w:div w:id="1896816420">
          <w:marLeft w:val="0"/>
          <w:marRight w:val="0"/>
          <w:marTop w:val="0"/>
          <w:marBottom w:val="0"/>
          <w:divBdr>
            <w:top w:val="none" w:sz="0" w:space="0" w:color="auto"/>
            <w:left w:val="none" w:sz="0" w:space="0" w:color="auto"/>
            <w:bottom w:val="none" w:sz="0" w:space="0" w:color="auto"/>
            <w:right w:val="none" w:sz="0" w:space="0" w:color="auto"/>
          </w:divBdr>
        </w:div>
        <w:div w:id="2030987802">
          <w:marLeft w:val="0"/>
          <w:marRight w:val="0"/>
          <w:marTop w:val="0"/>
          <w:marBottom w:val="0"/>
          <w:divBdr>
            <w:top w:val="none" w:sz="0" w:space="0" w:color="auto"/>
            <w:left w:val="none" w:sz="0" w:space="0" w:color="auto"/>
            <w:bottom w:val="none" w:sz="0" w:space="0" w:color="auto"/>
            <w:right w:val="none" w:sz="0" w:space="0" w:color="auto"/>
          </w:divBdr>
        </w:div>
      </w:divsChild>
    </w:div>
    <w:div w:id="1144738355">
      <w:bodyDiv w:val="1"/>
      <w:marLeft w:val="0"/>
      <w:marRight w:val="0"/>
      <w:marTop w:val="0"/>
      <w:marBottom w:val="0"/>
      <w:divBdr>
        <w:top w:val="none" w:sz="0" w:space="0" w:color="auto"/>
        <w:left w:val="none" w:sz="0" w:space="0" w:color="auto"/>
        <w:bottom w:val="none" w:sz="0" w:space="0" w:color="auto"/>
        <w:right w:val="none" w:sz="0" w:space="0" w:color="auto"/>
      </w:divBdr>
      <w:divsChild>
        <w:div w:id="966546229">
          <w:marLeft w:val="0"/>
          <w:marRight w:val="0"/>
          <w:marTop w:val="0"/>
          <w:marBottom w:val="0"/>
          <w:divBdr>
            <w:top w:val="none" w:sz="0" w:space="0" w:color="auto"/>
            <w:left w:val="none" w:sz="0" w:space="0" w:color="auto"/>
            <w:bottom w:val="none" w:sz="0" w:space="0" w:color="auto"/>
            <w:right w:val="none" w:sz="0" w:space="0" w:color="auto"/>
          </w:divBdr>
          <w:divsChild>
            <w:div w:id="671371261">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153446337">
      <w:bodyDiv w:val="1"/>
      <w:marLeft w:val="0"/>
      <w:marRight w:val="0"/>
      <w:marTop w:val="0"/>
      <w:marBottom w:val="0"/>
      <w:divBdr>
        <w:top w:val="none" w:sz="0" w:space="0" w:color="auto"/>
        <w:left w:val="none" w:sz="0" w:space="0" w:color="auto"/>
        <w:bottom w:val="none" w:sz="0" w:space="0" w:color="auto"/>
        <w:right w:val="none" w:sz="0" w:space="0" w:color="auto"/>
      </w:divBdr>
      <w:divsChild>
        <w:div w:id="2012364599">
          <w:marLeft w:val="0"/>
          <w:marRight w:val="0"/>
          <w:marTop w:val="0"/>
          <w:marBottom w:val="0"/>
          <w:divBdr>
            <w:top w:val="none" w:sz="0" w:space="0" w:color="auto"/>
            <w:left w:val="none" w:sz="0" w:space="0" w:color="auto"/>
            <w:bottom w:val="none" w:sz="0" w:space="0" w:color="auto"/>
            <w:right w:val="none" w:sz="0" w:space="0" w:color="auto"/>
          </w:divBdr>
        </w:div>
      </w:divsChild>
    </w:div>
    <w:div w:id="1416591674">
      <w:bodyDiv w:val="1"/>
      <w:marLeft w:val="0"/>
      <w:marRight w:val="0"/>
      <w:marTop w:val="0"/>
      <w:marBottom w:val="0"/>
      <w:divBdr>
        <w:top w:val="none" w:sz="0" w:space="0" w:color="auto"/>
        <w:left w:val="none" w:sz="0" w:space="0" w:color="auto"/>
        <w:bottom w:val="none" w:sz="0" w:space="0" w:color="auto"/>
        <w:right w:val="none" w:sz="0" w:space="0" w:color="auto"/>
      </w:divBdr>
      <w:divsChild>
        <w:div w:id="111166834">
          <w:marLeft w:val="0"/>
          <w:marRight w:val="0"/>
          <w:marTop w:val="0"/>
          <w:marBottom w:val="0"/>
          <w:divBdr>
            <w:top w:val="none" w:sz="0" w:space="0" w:color="auto"/>
            <w:left w:val="none" w:sz="0" w:space="0" w:color="auto"/>
            <w:bottom w:val="none" w:sz="0" w:space="0" w:color="auto"/>
            <w:right w:val="none" w:sz="0" w:space="0" w:color="auto"/>
          </w:divBdr>
        </w:div>
      </w:divsChild>
    </w:div>
    <w:div w:id="1485706430">
      <w:bodyDiv w:val="1"/>
      <w:marLeft w:val="0"/>
      <w:marRight w:val="0"/>
      <w:marTop w:val="0"/>
      <w:marBottom w:val="0"/>
      <w:divBdr>
        <w:top w:val="none" w:sz="0" w:space="0" w:color="auto"/>
        <w:left w:val="none" w:sz="0" w:space="0" w:color="auto"/>
        <w:bottom w:val="none" w:sz="0" w:space="0" w:color="auto"/>
        <w:right w:val="none" w:sz="0" w:space="0" w:color="auto"/>
      </w:divBdr>
    </w:div>
    <w:div w:id="1876691906">
      <w:bodyDiv w:val="1"/>
      <w:marLeft w:val="0"/>
      <w:marRight w:val="0"/>
      <w:marTop w:val="0"/>
      <w:marBottom w:val="0"/>
      <w:divBdr>
        <w:top w:val="none" w:sz="0" w:space="0" w:color="auto"/>
        <w:left w:val="none" w:sz="0" w:space="0" w:color="auto"/>
        <w:bottom w:val="none" w:sz="0" w:space="0" w:color="auto"/>
        <w:right w:val="none" w:sz="0" w:space="0" w:color="auto"/>
      </w:divBdr>
    </w:div>
    <w:div w:id="1900241293">
      <w:bodyDiv w:val="1"/>
      <w:marLeft w:val="0"/>
      <w:marRight w:val="0"/>
      <w:marTop w:val="0"/>
      <w:marBottom w:val="0"/>
      <w:divBdr>
        <w:top w:val="none" w:sz="0" w:space="0" w:color="auto"/>
        <w:left w:val="none" w:sz="0" w:space="0" w:color="auto"/>
        <w:bottom w:val="none" w:sz="0" w:space="0" w:color="auto"/>
        <w:right w:val="none" w:sz="0" w:space="0" w:color="auto"/>
      </w:divBdr>
      <w:divsChild>
        <w:div w:id="262883997">
          <w:marLeft w:val="0"/>
          <w:marRight w:val="0"/>
          <w:marTop w:val="0"/>
          <w:marBottom w:val="0"/>
          <w:divBdr>
            <w:top w:val="none" w:sz="0" w:space="0" w:color="auto"/>
            <w:left w:val="none" w:sz="0" w:space="0" w:color="auto"/>
            <w:bottom w:val="none" w:sz="0" w:space="0" w:color="auto"/>
            <w:right w:val="none" w:sz="0" w:space="0" w:color="auto"/>
          </w:divBdr>
        </w:div>
        <w:div w:id="276379283">
          <w:marLeft w:val="0"/>
          <w:marRight w:val="0"/>
          <w:marTop w:val="0"/>
          <w:marBottom w:val="0"/>
          <w:divBdr>
            <w:top w:val="none" w:sz="0" w:space="0" w:color="auto"/>
            <w:left w:val="none" w:sz="0" w:space="0" w:color="auto"/>
            <w:bottom w:val="none" w:sz="0" w:space="0" w:color="auto"/>
            <w:right w:val="none" w:sz="0" w:space="0" w:color="auto"/>
          </w:divBdr>
        </w:div>
        <w:div w:id="1165707065">
          <w:marLeft w:val="0"/>
          <w:marRight w:val="0"/>
          <w:marTop w:val="0"/>
          <w:marBottom w:val="0"/>
          <w:divBdr>
            <w:top w:val="none" w:sz="0" w:space="0" w:color="auto"/>
            <w:left w:val="none" w:sz="0" w:space="0" w:color="auto"/>
            <w:bottom w:val="none" w:sz="0" w:space="0" w:color="auto"/>
            <w:right w:val="none" w:sz="0" w:space="0" w:color="auto"/>
          </w:divBdr>
        </w:div>
        <w:div w:id="1233613717">
          <w:marLeft w:val="0"/>
          <w:marRight w:val="0"/>
          <w:marTop w:val="0"/>
          <w:marBottom w:val="0"/>
          <w:divBdr>
            <w:top w:val="none" w:sz="0" w:space="0" w:color="auto"/>
            <w:left w:val="none" w:sz="0" w:space="0" w:color="auto"/>
            <w:bottom w:val="none" w:sz="0" w:space="0" w:color="auto"/>
            <w:right w:val="none" w:sz="0" w:space="0" w:color="auto"/>
          </w:divBdr>
        </w:div>
      </w:divsChild>
    </w:div>
    <w:div w:id="1969119229">
      <w:bodyDiv w:val="1"/>
      <w:marLeft w:val="0"/>
      <w:marRight w:val="0"/>
      <w:marTop w:val="0"/>
      <w:marBottom w:val="0"/>
      <w:divBdr>
        <w:top w:val="none" w:sz="0" w:space="0" w:color="auto"/>
        <w:left w:val="none" w:sz="0" w:space="0" w:color="auto"/>
        <w:bottom w:val="none" w:sz="0" w:space="0" w:color="auto"/>
        <w:right w:val="none" w:sz="0" w:space="0" w:color="auto"/>
      </w:divBdr>
    </w:div>
    <w:div w:id="205758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s.helpdesk@central.te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tee.gr/ellada-2-0/apasxolisi-dexiotites-koinoniki-synochi/vns-2-0-tee-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ns-2-0.tee.gov.gr/" TargetMode="External"/><Relationship Id="rId4" Type="http://schemas.openxmlformats.org/officeDocument/2006/relationships/settings" Target="settings.xml"/><Relationship Id="rId9" Type="http://schemas.openxmlformats.org/officeDocument/2006/relationships/hyperlink" Target="https://web.tee.gr/ellada-2-0/apasxolisi-dexiotites-koinoniki-synochi/vns-2-0-tee-gov-g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20372-7F05-4F62-A66C-8BE9EDD2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1477</Words>
  <Characters>8419</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TEE</vt:lpstr>
      <vt:lpstr>TEE</vt:lpstr>
    </vt:vector>
  </TitlesOfParts>
  <Company>Microsoft</Company>
  <LinksUpToDate>false</LinksUpToDate>
  <CharactersWithSpaces>9877</CharactersWithSpaces>
  <SharedDoc>false</SharedDoc>
  <HLinks>
    <vt:vector size="6" baseType="variant">
      <vt:variant>
        <vt:i4>6357022</vt:i4>
      </vt:variant>
      <vt:variant>
        <vt:i4>3</vt:i4>
      </vt:variant>
      <vt:variant>
        <vt:i4>0</vt:i4>
      </vt:variant>
      <vt:variant>
        <vt:i4>5</vt:i4>
      </vt:variant>
      <vt:variant>
        <vt:lpwstr>mailto:press@central.tee.gr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dc:title>
  <dc:subject/>
  <dc:creator>Choose</dc:creator>
  <cp:keywords/>
  <cp:lastModifiedBy>THEOKAR</cp:lastModifiedBy>
  <cp:revision>4</cp:revision>
  <cp:lastPrinted>2019-01-17T13:54:00Z</cp:lastPrinted>
  <dcterms:created xsi:type="dcterms:W3CDTF">2025-01-13T09:47:00Z</dcterms:created>
  <dcterms:modified xsi:type="dcterms:W3CDTF">2025-01-13T10:43:00Z</dcterms:modified>
</cp:coreProperties>
</file>